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7DFAEE" w14:textId="5BE8D458" w:rsidR="00A96C7A" w:rsidRDefault="00A96C7A" w:rsidP="00A96C7A">
      <w:pPr>
        <w:shd w:val="clear" w:color="auto" w:fill="FFFFFF"/>
        <w:jc w:val="center"/>
        <w:rPr>
          <w:rFonts w:ascii="VAGRounded BT" w:hAnsi="VAGRounded BT"/>
          <w:sz w:val="36"/>
          <w:szCs w:val="36"/>
        </w:rPr>
      </w:pPr>
      <w:r w:rsidRPr="00A96C7A">
        <w:rPr>
          <w:rFonts w:ascii="VAGRounded BT" w:hAnsi="VAGRounded BT"/>
          <w:sz w:val="36"/>
          <w:szCs w:val="36"/>
        </w:rPr>
        <w:t xml:space="preserve">3 </w:t>
      </w:r>
      <w:r w:rsidR="007F53D7" w:rsidRPr="00DD7F73">
        <w:rPr>
          <w:rFonts w:ascii="VAGRounded BT" w:hAnsi="VAGRounded BT"/>
          <w:sz w:val="36"/>
          <w:szCs w:val="36"/>
        </w:rPr>
        <w:t>Categories</w:t>
      </w:r>
      <w:r w:rsidRPr="00DD7F73">
        <w:rPr>
          <w:rFonts w:ascii="VAGRounded BT" w:hAnsi="VAGRounded BT"/>
          <w:sz w:val="36"/>
          <w:szCs w:val="36"/>
        </w:rPr>
        <w:t xml:space="preserve"> of Messianic Prophecy</w:t>
      </w:r>
    </w:p>
    <w:p w14:paraId="7A52D0CC" w14:textId="1C811C27" w:rsidR="005C29C1" w:rsidRPr="005C29C1" w:rsidRDefault="005C29C1" w:rsidP="00A96C7A">
      <w:pPr>
        <w:shd w:val="clear" w:color="auto" w:fill="FFFFFF"/>
        <w:jc w:val="center"/>
        <w:rPr>
          <w:rFonts w:cs="Calibri"/>
        </w:rPr>
      </w:pPr>
      <w:r w:rsidRPr="005C29C1">
        <w:rPr>
          <w:rFonts w:cs="Calibri"/>
        </w:rPr>
        <w:t>Steven Rudd, May 2025</w:t>
      </w:r>
    </w:p>
    <w:p w14:paraId="4C1044B1" w14:textId="157EA178" w:rsidR="00A96C7A" w:rsidRPr="00A96C7A" w:rsidRDefault="00A96C7A" w:rsidP="00A96C7A">
      <w:pPr>
        <w:shd w:val="clear" w:color="auto" w:fill="FFFFFF"/>
        <w:jc w:val="center"/>
        <w:rPr>
          <w:rFonts w:ascii="Segoe Script" w:hAnsi="Segoe Script"/>
          <w:sz w:val="32"/>
          <w:szCs w:val="32"/>
        </w:rPr>
      </w:pPr>
      <w:r w:rsidRPr="00A96C7A">
        <w:rPr>
          <w:rFonts w:ascii="Segoe Script" w:hAnsi="Segoe Script"/>
          <w:sz w:val="32"/>
          <w:szCs w:val="32"/>
        </w:rPr>
        <w:t>All messianic prophecies fall into three categories</w:t>
      </w:r>
    </w:p>
    <w:p w14:paraId="322C7E60" w14:textId="7E569A02" w:rsidR="00A96C7A" w:rsidRPr="00F27A2E" w:rsidRDefault="00A96C7A" w:rsidP="00A96C7A">
      <w:pPr>
        <w:shd w:val="clear" w:color="auto" w:fill="FFFFFF"/>
        <w:rPr>
          <w:rFonts w:ascii="VAGRounded BT" w:hAnsi="VAGRounded BT"/>
        </w:rPr>
      </w:pPr>
      <w:r w:rsidRPr="00A96C7A">
        <w:rPr>
          <w:rFonts w:ascii="VAGRounded BT" w:hAnsi="VAGRounded BT"/>
        </w:rPr>
        <w:t>Category 1</w:t>
      </w:r>
      <w:r w:rsidRPr="00F27A2E">
        <w:rPr>
          <w:rFonts w:ascii="VAGRounded BT" w:hAnsi="VAGRounded BT"/>
        </w:rPr>
        <w:t xml:space="preserve">: </w:t>
      </w:r>
      <w:r w:rsidRPr="00A96C7A">
        <w:rPr>
          <w:rFonts w:ascii="VAGRounded BT" w:hAnsi="VAGRounded BT"/>
        </w:rPr>
        <w:t>Texts that were universally recognized as predicting a single, clearly defined future messianic event at the time they were written. These texts can be used a proof that the Bible is inspired.</w:t>
      </w:r>
    </w:p>
    <w:p w14:paraId="6CD6469F" w14:textId="50865666" w:rsidR="00A96C7A" w:rsidRDefault="00A96C7A" w:rsidP="00A96C7A">
      <w:pPr>
        <w:pStyle w:val="ListParagraph"/>
        <w:numPr>
          <w:ilvl w:val="0"/>
          <w:numId w:val="1"/>
        </w:numPr>
        <w:shd w:val="clear" w:color="auto" w:fill="FFFFFF"/>
      </w:pPr>
      <w:r w:rsidRPr="00A96C7A">
        <w:t>Daniel 2:</w:t>
      </w:r>
      <w:r w:rsidR="00EE7C23">
        <w:t>31-</w:t>
      </w:r>
      <w:r w:rsidRPr="00A96C7A">
        <w:t>4</w:t>
      </w:r>
      <w:r w:rsidR="00EE7C23">
        <w:t>5</w:t>
      </w:r>
      <w:r w:rsidRPr="00A96C7A">
        <w:t xml:space="preserve"> is an “event prophecy” of five kingdoms that predicts that the church will be established as the 5th kingdom during the days of the 4th kingdom of Rome. </w:t>
      </w:r>
    </w:p>
    <w:p w14:paraId="4C263134" w14:textId="608D4F47" w:rsidR="00A96C7A" w:rsidRDefault="00A96C7A" w:rsidP="00A96C7A">
      <w:pPr>
        <w:pStyle w:val="ListParagraph"/>
        <w:numPr>
          <w:ilvl w:val="0"/>
          <w:numId w:val="1"/>
        </w:numPr>
        <w:shd w:val="clear" w:color="auto" w:fill="FFFFFF"/>
      </w:pPr>
      <w:r w:rsidRPr="00A96C7A">
        <w:t>Daniel 9:24</w:t>
      </w:r>
      <w:r w:rsidR="004458A1">
        <w:t>-27</w:t>
      </w:r>
      <w:r w:rsidRPr="00A96C7A">
        <w:t xml:space="preserve"> is a “time prophecy” of the arrival of the Messiah that predicts 490 years from Ezra 7 (458 BC) to the resurrection of Christ on the 5 April AD 33. The time prophecy is exactly 490 solar years to the day. </w:t>
      </w:r>
    </w:p>
    <w:p w14:paraId="34F18BAE" w14:textId="202ED701" w:rsidR="00D92163" w:rsidRPr="00A96C7A" w:rsidRDefault="00D92163" w:rsidP="00D92163">
      <w:pPr>
        <w:pStyle w:val="ListParagraph"/>
        <w:numPr>
          <w:ilvl w:val="0"/>
          <w:numId w:val="1"/>
        </w:numPr>
        <w:shd w:val="clear" w:color="auto" w:fill="FFFFFF"/>
      </w:pPr>
      <w:r w:rsidRPr="00D92163">
        <w:rPr>
          <w:sz w:val="22"/>
          <w:szCs w:val="22"/>
        </w:rPr>
        <w:t>Balaam’s rising “star” messianic prophecy was reflected on the first century “widow’s mite” coin (Mark 12:41–44) as an 8-pointed star (Num 24:17).</w:t>
      </w:r>
    </w:p>
    <w:p w14:paraId="1B4EEAF0" w14:textId="77777777" w:rsidR="00A96C7A" w:rsidRDefault="00A96C7A" w:rsidP="00A96C7A">
      <w:pPr>
        <w:shd w:val="clear" w:color="auto" w:fill="FFFFFF"/>
      </w:pPr>
    </w:p>
    <w:p w14:paraId="0B0B2D17" w14:textId="3FD0796E" w:rsidR="00DD2FA4" w:rsidRDefault="00450633" w:rsidP="00450633">
      <w:pPr>
        <w:shd w:val="clear" w:color="auto" w:fill="FFFFFF"/>
        <w:jc w:val="center"/>
      </w:pPr>
      <w:r>
        <w:rPr>
          <w:noProof/>
        </w:rPr>
        <w:drawing>
          <wp:inline distT="0" distB="0" distL="0" distR="0" wp14:anchorId="35BDF2DC" wp14:editId="522D3658">
            <wp:extent cx="6400800" cy="6765471"/>
            <wp:effectExtent l="0" t="0" r="0" b="0"/>
            <wp:docPr id="144600524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005241" name="Picture 1">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3580" cy="6768409"/>
                    </a:xfrm>
                    <a:prstGeom prst="rect">
                      <a:avLst/>
                    </a:prstGeom>
                    <a:noFill/>
                    <a:ln>
                      <a:noFill/>
                    </a:ln>
                  </pic:spPr>
                </pic:pic>
              </a:graphicData>
            </a:graphic>
          </wp:inline>
        </w:drawing>
      </w:r>
    </w:p>
    <w:p w14:paraId="72927079" w14:textId="77777777" w:rsidR="004458A1" w:rsidRDefault="004458A1" w:rsidP="00A96C7A">
      <w:pPr>
        <w:shd w:val="clear" w:color="auto" w:fill="FFFFFF"/>
      </w:pPr>
      <w:r>
        <w:rPr>
          <w:noProof/>
        </w:rPr>
        <w:lastRenderedPageBreak/>
        <w:drawing>
          <wp:inline distT="0" distB="0" distL="0" distR="0" wp14:anchorId="42371C8D" wp14:editId="28274277">
            <wp:extent cx="7315200" cy="4097020"/>
            <wp:effectExtent l="0" t="0" r="0" b="0"/>
            <wp:docPr id="93625487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54874" name="Picture 1">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0" cy="4097020"/>
                    </a:xfrm>
                    <a:prstGeom prst="rect">
                      <a:avLst/>
                    </a:prstGeom>
                    <a:noFill/>
                    <a:ln>
                      <a:noFill/>
                    </a:ln>
                  </pic:spPr>
                </pic:pic>
              </a:graphicData>
            </a:graphic>
          </wp:inline>
        </w:drawing>
      </w:r>
    </w:p>
    <w:p w14:paraId="2302E4B1" w14:textId="77777777" w:rsidR="00126262" w:rsidRDefault="00126262" w:rsidP="00126262">
      <w:pPr>
        <w:rPr>
          <w:rFonts w:eastAsia="Times New Roman" w:cs="Calibri"/>
          <w:b/>
          <w:bCs/>
        </w:rPr>
      </w:pPr>
    </w:p>
    <w:p w14:paraId="09F41D77" w14:textId="1494941D" w:rsidR="00126262" w:rsidRPr="00126262" w:rsidRDefault="00126262" w:rsidP="00126262">
      <w:pPr>
        <w:rPr>
          <w:rFonts w:eastAsia="Times New Roman" w:cs="Calibri"/>
        </w:rPr>
      </w:pPr>
      <w:r w:rsidRPr="00126262">
        <w:rPr>
          <w:rFonts w:eastAsia="Times New Roman" w:cs="Calibri"/>
          <w:b/>
          <w:bCs/>
        </w:rPr>
        <w:t>Correct interpretation of Daniel 9:24 and the 70 Weeks:</w:t>
      </w:r>
    </w:p>
    <w:p w14:paraId="751B1A52" w14:textId="3C483259" w:rsidR="00126262" w:rsidRPr="00126262" w:rsidRDefault="00126262" w:rsidP="00126262">
      <w:pPr>
        <w:pStyle w:val="NoSpacing"/>
        <w:numPr>
          <w:ilvl w:val="0"/>
          <w:numId w:val="12"/>
        </w:numPr>
      </w:pPr>
      <w:r w:rsidRPr="00126262">
        <w:t>The 70 weeks = 7 x 70= 490 years</w:t>
      </w:r>
    </w:p>
    <w:p w14:paraId="53D7CAD9" w14:textId="77777777" w:rsidR="00126262" w:rsidRDefault="00126262" w:rsidP="00126262">
      <w:pPr>
        <w:pStyle w:val="NoSpacing"/>
        <w:numPr>
          <w:ilvl w:val="0"/>
          <w:numId w:val="12"/>
        </w:numPr>
      </w:pPr>
      <w:r w:rsidRPr="00126262">
        <w:t>It starts with the decree to rebuild Jerusalem in April 458 BC (Ezra 7:7-26)</w:t>
      </w:r>
    </w:p>
    <w:p w14:paraId="0CD4A67E" w14:textId="7D878A76" w:rsidR="00126262" w:rsidRPr="00126262" w:rsidRDefault="00126262" w:rsidP="00126262">
      <w:pPr>
        <w:pStyle w:val="NoSpacing"/>
        <w:numPr>
          <w:ilvl w:val="0"/>
          <w:numId w:val="12"/>
        </w:numPr>
      </w:pPr>
      <w:r w:rsidRPr="00126262">
        <w:t>The last week is the resurrection of Christ in April 33 AD.</w:t>
      </w:r>
    </w:p>
    <w:p w14:paraId="5503E353" w14:textId="11365AF1" w:rsidR="00126262" w:rsidRPr="00126262" w:rsidRDefault="00126262" w:rsidP="00126262">
      <w:pPr>
        <w:pStyle w:val="NoSpacing"/>
        <w:numPr>
          <w:ilvl w:val="1"/>
          <w:numId w:val="12"/>
        </w:numPr>
        <w:rPr>
          <w:rFonts w:eastAsia="Times New Roman" w:cs="Calibri"/>
        </w:rPr>
      </w:pPr>
      <w:r w:rsidRPr="00126262">
        <w:rPr>
          <w:rFonts w:eastAsia="Times New Roman" w:cs="Calibri"/>
        </w:rPr>
        <w:t>A correct translation of the Hebrew word in the Masoretic Text for “Middle” (middle of week) is correctly translated “Half” correctly rendering the phrase, “the messiah will be cut off in the [last] half of the week.</w:t>
      </w:r>
    </w:p>
    <w:p w14:paraId="1134BFCC" w14:textId="26C5D763" w:rsidR="00126262" w:rsidRDefault="00126262" w:rsidP="00126262">
      <w:pPr>
        <w:pStyle w:val="NoSpacing"/>
        <w:numPr>
          <w:ilvl w:val="1"/>
          <w:numId w:val="12"/>
        </w:numPr>
        <w:rPr>
          <w:rFonts w:eastAsia="Times New Roman" w:cs="Calibri"/>
        </w:rPr>
      </w:pPr>
      <w:r w:rsidRPr="00126262">
        <w:rPr>
          <w:rFonts w:eastAsia="Times New Roman" w:cs="Calibri"/>
        </w:rPr>
        <w:t>It was during the last half of the 70</w:t>
      </w:r>
      <w:r w:rsidRPr="00126262">
        <w:rPr>
          <w:rFonts w:eastAsia="Times New Roman" w:cs="Calibri"/>
          <w:vertAlign w:val="superscript"/>
        </w:rPr>
        <w:t>th</w:t>
      </w:r>
      <w:r w:rsidRPr="00126262">
        <w:rPr>
          <w:rFonts w:eastAsia="Times New Roman" w:cs="Calibri"/>
        </w:rPr>
        <w:t> week that started with Jesus being baptized and ended with his crucifixion and finally resurrection.</w:t>
      </w:r>
    </w:p>
    <w:p w14:paraId="1A63D66E" w14:textId="7999D523" w:rsidR="00B4793B" w:rsidRPr="00126262" w:rsidRDefault="00B4793B" w:rsidP="00126262">
      <w:pPr>
        <w:pStyle w:val="NoSpacing"/>
        <w:numPr>
          <w:ilvl w:val="1"/>
          <w:numId w:val="12"/>
        </w:numPr>
        <w:rPr>
          <w:rFonts w:eastAsia="Times New Roman" w:cs="Calibri"/>
        </w:rPr>
      </w:pPr>
      <w:r>
        <w:rPr>
          <w:rFonts w:eastAsia="Times New Roman" w:cs="Calibri"/>
        </w:rPr>
        <w:t xml:space="preserve">The messiah was cut off at the end of </w:t>
      </w:r>
      <w:r w:rsidR="00B90EDB">
        <w:rPr>
          <w:rFonts w:eastAsia="Times New Roman" w:cs="Calibri"/>
        </w:rPr>
        <w:t>last half of the 70</w:t>
      </w:r>
      <w:r w:rsidR="00B90EDB" w:rsidRPr="00B90EDB">
        <w:rPr>
          <w:rFonts w:eastAsia="Times New Roman" w:cs="Calibri"/>
          <w:vertAlign w:val="superscript"/>
        </w:rPr>
        <w:t>th</w:t>
      </w:r>
      <w:r w:rsidR="00B90EDB">
        <w:rPr>
          <w:rFonts w:eastAsia="Times New Roman" w:cs="Calibri"/>
        </w:rPr>
        <w:t xml:space="preserve"> week.</w:t>
      </w:r>
    </w:p>
    <w:p w14:paraId="2FAEA404" w14:textId="5C8B66A3" w:rsidR="00126262" w:rsidRPr="00126262" w:rsidRDefault="00126262" w:rsidP="00126262">
      <w:pPr>
        <w:pStyle w:val="NoSpacing"/>
        <w:numPr>
          <w:ilvl w:val="0"/>
          <w:numId w:val="12"/>
        </w:numPr>
        <w:rPr>
          <w:rFonts w:eastAsia="Times New Roman" w:cs="Calibri"/>
        </w:rPr>
      </w:pPr>
      <w:r w:rsidRPr="00126262">
        <w:rPr>
          <w:rFonts w:eastAsia="Times New Roman" w:cs="Calibri"/>
        </w:rPr>
        <w:t>Jesus the Messiah rose from the dead 490 solar years to the very day Artaxerxes issued his decree:</w:t>
      </w:r>
    </w:p>
    <w:p w14:paraId="59D6FC0D" w14:textId="6AED733F" w:rsidR="00126262" w:rsidRPr="00126262" w:rsidRDefault="00126262" w:rsidP="00126262">
      <w:pPr>
        <w:pStyle w:val="NoSpacing"/>
        <w:numPr>
          <w:ilvl w:val="1"/>
          <w:numId w:val="12"/>
        </w:numPr>
        <w:rPr>
          <w:rFonts w:eastAsia="Times New Roman" w:cs="Calibri"/>
        </w:rPr>
      </w:pPr>
      <w:r w:rsidRPr="00126262">
        <w:rPr>
          <w:rFonts w:eastAsia="Times New Roman" w:cs="Calibri"/>
        </w:rPr>
        <w:t>The decree to rebuild Jerusalem in Ezra 7:7-26 records Ezra departing Babylon for Jerusalem on 1</w:t>
      </w:r>
      <w:r w:rsidRPr="00126262">
        <w:rPr>
          <w:rFonts w:eastAsia="Times New Roman" w:cs="Calibri"/>
          <w:vertAlign w:val="superscript"/>
        </w:rPr>
        <w:t>st</w:t>
      </w:r>
      <w:r w:rsidRPr="00126262">
        <w:rPr>
          <w:rFonts w:eastAsia="Times New Roman" w:cs="Calibri"/>
        </w:rPr>
        <w:t> Nisan (first month in Jewish Calendar) in the 7th year of Artaxerxes in 458 BC which translates to 8 April 458 BC </w:t>
      </w:r>
      <w:bookmarkStart w:id="0" w:name="_Hlk496714871"/>
      <w:r w:rsidRPr="00126262">
        <w:rPr>
          <w:rFonts w:eastAsia="Times New Roman" w:cs="Calibri"/>
        </w:rPr>
        <w:t>(Julian calendar) </w:t>
      </w:r>
      <w:bookmarkEnd w:id="0"/>
      <w:r w:rsidRPr="00126262">
        <w:rPr>
          <w:rFonts w:eastAsia="Times New Roman" w:cs="Calibri"/>
        </w:rPr>
        <w:t xml:space="preserve">and to </w:t>
      </w:r>
      <w:proofErr w:type="gramStart"/>
      <w:r w:rsidRPr="00126262">
        <w:rPr>
          <w:rFonts w:eastAsia="Times New Roman" w:cs="Calibri"/>
        </w:rPr>
        <w:t>3</w:t>
      </w:r>
      <w:r w:rsidRPr="00126262">
        <w:rPr>
          <w:rFonts w:eastAsia="Times New Roman" w:cs="Calibri"/>
          <w:vertAlign w:val="superscript"/>
        </w:rPr>
        <w:t>th</w:t>
      </w:r>
      <w:proofErr w:type="gramEnd"/>
      <w:r w:rsidRPr="00126262">
        <w:rPr>
          <w:rFonts w:eastAsia="Times New Roman" w:cs="Calibri"/>
        </w:rPr>
        <w:t> April 458 BC (Solar/Gregorian Calendar).</w:t>
      </w:r>
    </w:p>
    <w:p w14:paraId="27906D52" w14:textId="326B37A4" w:rsidR="00126262" w:rsidRPr="00126262" w:rsidRDefault="00126262" w:rsidP="00126262">
      <w:pPr>
        <w:pStyle w:val="NoSpacing"/>
        <w:numPr>
          <w:ilvl w:val="1"/>
          <w:numId w:val="12"/>
        </w:numPr>
        <w:rPr>
          <w:rFonts w:eastAsia="Times New Roman" w:cs="Calibri"/>
        </w:rPr>
      </w:pPr>
      <w:r w:rsidRPr="00126262">
        <w:rPr>
          <w:rFonts w:eastAsia="Times New Roman" w:cs="Calibri"/>
        </w:rPr>
        <w:t>The resurrection of Jesus was on 16</w:t>
      </w:r>
      <w:r w:rsidRPr="00126262">
        <w:rPr>
          <w:rFonts w:eastAsia="Times New Roman" w:cs="Calibri"/>
          <w:vertAlign w:val="superscript"/>
        </w:rPr>
        <w:t>th</w:t>
      </w:r>
      <w:r w:rsidRPr="00126262">
        <w:rPr>
          <w:rFonts w:eastAsia="Times New Roman" w:cs="Calibri"/>
        </w:rPr>
        <w:t> Nisan 33 AD (Jewish Calendar) which translates to 5 April 33 AD (Julian calendar) and to 3</w:t>
      </w:r>
      <w:r w:rsidRPr="00126262">
        <w:rPr>
          <w:rFonts w:eastAsia="Times New Roman" w:cs="Calibri"/>
          <w:vertAlign w:val="superscript"/>
        </w:rPr>
        <w:t>rd</w:t>
      </w:r>
      <w:r w:rsidRPr="00126262">
        <w:rPr>
          <w:rFonts w:eastAsia="Times New Roman" w:cs="Calibri"/>
        </w:rPr>
        <w:t> April AD (Solar/Gregorian Calendar).</w:t>
      </w:r>
    </w:p>
    <w:p w14:paraId="6ABE9A29" w14:textId="56425CE1" w:rsidR="00126262" w:rsidRPr="00126262" w:rsidRDefault="00126262" w:rsidP="00126262">
      <w:pPr>
        <w:pStyle w:val="NoSpacing"/>
        <w:numPr>
          <w:ilvl w:val="1"/>
          <w:numId w:val="12"/>
        </w:numPr>
        <w:rPr>
          <w:rFonts w:eastAsia="Times New Roman" w:cs="Calibri"/>
        </w:rPr>
      </w:pPr>
      <w:r w:rsidRPr="00126262">
        <w:rPr>
          <w:rFonts w:eastAsia="Times New Roman" w:cs="Calibri"/>
        </w:rPr>
        <w:t>The solar calendar (Gregorian Calendar) is God’s Calendar for a year because it is the exact time it takes the earth to orbit the Sun.</w:t>
      </w:r>
    </w:p>
    <w:p w14:paraId="322A2DE8" w14:textId="478D0E0A" w:rsidR="004458A1" w:rsidRPr="00126262" w:rsidRDefault="00126262" w:rsidP="00126262">
      <w:pPr>
        <w:pStyle w:val="NoSpacing"/>
        <w:numPr>
          <w:ilvl w:val="1"/>
          <w:numId w:val="12"/>
        </w:numPr>
        <w:rPr>
          <w:rFonts w:eastAsia="Times New Roman" w:cs="Calibri"/>
        </w:rPr>
      </w:pPr>
      <w:r w:rsidRPr="00126262">
        <w:rPr>
          <w:rFonts w:eastAsia="Times New Roman" w:cs="Calibri"/>
        </w:rPr>
        <w:t>Today we use the Gregorian Calendar which requires leap years to keep it is in sync with God’s solar calendar. The 490 years of Daniel’s 70 weeks is exactly 490 solar years to the very day.</w:t>
      </w:r>
    </w:p>
    <w:p w14:paraId="34E51027" w14:textId="77777777" w:rsidR="00FF68C3" w:rsidRPr="00126262" w:rsidRDefault="00FF68C3">
      <w:pPr>
        <w:rPr>
          <w:noProof/>
        </w:rPr>
      </w:pPr>
      <w:r w:rsidRPr="00126262">
        <w:rPr>
          <w:noProof/>
        </w:rPr>
        <w:br w:type="page"/>
      </w:r>
    </w:p>
    <w:p w14:paraId="62C39543" w14:textId="055BFC27" w:rsidR="00450633" w:rsidRPr="00126262" w:rsidRDefault="00450633" w:rsidP="00A96C7A">
      <w:pPr>
        <w:shd w:val="clear" w:color="auto" w:fill="FFFFFF"/>
      </w:pPr>
      <w:r w:rsidRPr="00126262">
        <w:rPr>
          <w:noProof/>
        </w:rPr>
        <w:lastRenderedPageBreak/>
        <w:drawing>
          <wp:inline distT="0" distB="0" distL="0" distR="0" wp14:anchorId="5EDB1CB5" wp14:editId="0F46C92A">
            <wp:extent cx="7314882" cy="4392386"/>
            <wp:effectExtent l="0" t="0" r="635" b="8255"/>
            <wp:docPr id="194049778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97782" name="Picture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324927" cy="4398418"/>
                    </a:xfrm>
                    <a:prstGeom prst="rect">
                      <a:avLst/>
                    </a:prstGeom>
                    <a:noFill/>
                    <a:ln>
                      <a:noFill/>
                    </a:ln>
                  </pic:spPr>
                </pic:pic>
              </a:graphicData>
            </a:graphic>
          </wp:inline>
        </w:drawing>
      </w:r>
    </w:p>
    <w:p w14:paraId="30F4D7E6" w14:textId="77777777" w:rsidR="00FF68C3" w:rsidRPr="00126262" w:rsidRDefault="00FF68C3" w:rsidP="00A96C7A">
      <w:pPr>
        <w:shd w:val="clear" w:color="auto" w:fill="FFFFFF"/>
      </w:pPr>
    </w:p>
    <w:p w14:paraId="7AD5C9E3" w14:textId="77777777" w:rsidR="00FF68C3" w:rsidRPr="00126262" w:rsidRDefault="00FF68C3" w:rsidP="00FF68C3">
      <w:pPr>
        <w:shd w:val="clear" w:color="auto" w:fill="FFFFFF"/>
        <w:jc w:val="center"/>
        <w:rPr>
          <w:rFonts w:cs="Calibri"/>
          <w:noProof/>
        </w:rPr>
      </w:pPr>
      <w:r w:rsidRPr="00126262">
        <w:rPr>
          <w:rFonts w:cs="Calibri"/>
          <w:noProof/>
        </w:rPr>
        <w:drawing>
          <wp:inline distT="0" distB="0" distL="0" distR="0" wp14:anchorId="6BF245F9" wp14:editId="3370B9D0">
            <wp:extent cx="3541032" cy="2296885"/>
            <wp:effectExtent l="0" t="0" r="2540" b="8255"/>
            <wp:docPr id="512529839" name="Picture 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4922" cy="2305895"/>
                    </a:xfrm>
                    <a:prstGeom prst="rect">
                      <a:avLst/>
                    </a:prstGeom>
                    <a:noFill/>
                    <a:ln>
                      <a:noFill/>
                    </a:ln>
                  </pic:spPr>
                </pic:pic>
              </a:graphicData>
            </a:graphic>
          </wp:inline>
        </w:drawing>
      </w:r>
    </w:p>
    <w:p w14:paraId="35C4C36A" w14:textId="77777777" w:rsidR="00FF68C3" w:rsidRPr="00126262" w:rsidRDefault="00FF68C3" w:rsidP="00FF68C3">
      <w:pPr>
        <w:shd w:val="clear" w:color="auto" w:fill="FFFFFF"/>
        <w:jc w:val="center"/>
        <w:rPr>
          <w:rFonts w:cs="Calibri"/>
          <w:noProof/>
        </w:rPr>
      </w:pPr>
    </w:p>
    <w:p w14:paraId="1CDA2C6A" w14:textId="76AF14FA" w:rsidR="00FF68C3" w:rsidRPr="00126262" w:rsidRDefault="00FF68C3" w:rsidP="00FF68C3">
      <w:pPr>
        <w:shd w:val="clear" w:color="auto" w:fill="FFFFFF"/>
        <w:jc w:val="center"/>
      </w:pPr>
      <w:r w:rsidRPr="00126262">
        <w:rPr>
          <w:rFonts w:cs="Calibri"/>
          <w:noProof/>
        </w:rPr>
        <w:drawing>
          <wp:inline distT="0" distB="0" distL="0" distR="0" wp14:anchorId="48734689" wp14:editId="74F699A1">
            <wp:extent cx="3549424" cy="2302329"/>
            <wp:effectExtent l="0" t="0" r="0" b="3175"/>
            <wp:docPr id="1572498097" name="Picture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0423" cy="2309463"/>
                    </a:xfrm>
                    <a:prstGeom prst="rect">
                      <a:avLst/>
                    </a:prstGeom>
                    <a:noFill/>
                    <a:ln>
                      <a:noFill/>
                    </a:ln>
                  </pic:spPr>
                </pic:pic>
              </a:graphicData>
            </a:graphic>
          </wp:inline>
        </w:drawing>
      </w:r>
    </w:p>
    <w:p w14:paraId="236E0CFB" w14:textId="52A9738C" w:rsidR="00A96C7A" w:rsidRPr="00F27A2E" w:rsidRDefault="00A96C7A" w:rsidP="00A96C7A">
      <w:pPr>
        <w:shd w:val="clear" w:color="auto" w:fill="FFFFFF"/>
        <w:rPr>
          <w:rFonts w:ascii="VAGRounded BT" w:hAnsi="VAGRounded BT"/>
        </w:rPr>
      </w:pPr>
      <w:r w:rsidRPr="00126262">
        <w:rPr>
          <w:rFonts w:ascii="VAGRounded BT" w:hAnsi="VAGRounded BT"/>
        </w:rPr>
        <w:lastRenderedPageBreak/>
        <w:t>Category 2: Texts that</w:t>
      </w:r>
      <w:r w:rsidRPr="00A96C7A">
        <w:rPr>
          <w:rFonts w:ascii="VAGRounded BT" w:hAnsi="VAGRounded BT"/>
        </w:rPr>
        <w:t xml:space="preserve"> were prophetic of a specific event that was fulfilled shortly thereafter but later understood to be a dual prophecy fulfilled in Jesus.</w:t>
      </w:r>
    </w:p>
    <w:p w14:paraId="279A3E4B" w14:textId="2850E884" w:rsidR="00A96C7A" w:rsidRDefault="00A96C7A" w:rsidP="00A96C7A">
      <w:pPr>
        <w:pStyle w:val="ListParagraph"/>
        <w:numPr>
          <w:ilvl w:val="0"/>
          <w:numId w:val="2"/>
        </w:numPr>
        <w:shd w:val="clear" w:color="auto" w:fill="FFFFFF"/>
      </w:pPr>
      <w:r w:rsidRPr="00A96C7A">
        <w:t>2 Sam</w:t>
      </w:r>
      <w:r>
        <w:t>el</w:t>
      </w:r>
      <w:r w:rsidRPr="00A96C7A">
        <w:t xml:space="preserve"> 7:12-16</w:t>
      </w:r>
      <w:r>
        <w:t xml:space="preserve"> </w:t>
      </w:r>
      <w:r w:rsidRPr="00A96C7A">
        <w:t>predicted that the son of David would build the temple, which was first fulfilled by Solomon, then later by Christ.</w:t>
      </w:r>
      <w:r w:rsidR="00AE5B62">
        <w:t xml:space="preserve"> </w:t>
      </w:r>
      <w:r w:rsidR="00AE5B62">
        <w:rPr>
          <w:sz w:val="22"/>
          <w:szCs w:val="22"/>
        </w:rPr>
        <w:t>(</w:t>
      </w:r>
      <w:r w:rsidR="00AE5B62" w:rsidRPr="00780CEE">
        <w:rPr>
          <w:sz w:val="22"/>
          <w:szCs w:val="22"/>
        </w:rPr>
        <w:t>Acts 2:30–31</w:t>
      </w:r>
      <w:r w:rsidR="00AE5B62">
        <w:rPr>
          <w:sz w:val="22"/>
          <w:szCs w:val="22"/>
        </w:rPr>
        <w:t>).</w:t>
      </w:r>
    </w:p>
    <w:p w14:paraId="482EF406" w14:textId="6909154B" w:rsidR="00A96C7A" w:rsidRDefault="00A96C7A" w:rsidP="00A96C7A">
      <w:pPr>
        <w:pStyle w:val="ListParagraph"/>
        <w:numPr>
          <w:ilvl w:val="0"/>
          <w:numId w:val="2"/>
        </w:numPr>
        <w:shd w:val="clear" w:color="auto" w:fill="FFFFFF"/>
      </w:pPr>
      <w:r w:rsidRPr="00A96C7A">
        <w:t>Isa</w:t>
      </w:r>
      <w:r>
        <w:t>iah</w:t>
      </w:r>
      <w:r w:rsidRPr="00A96C7A">
        <w:t xml:space="preserve"> 7:10-16</w:t>
      </w:r>
      <w:r>
        <w:t xml:space="preserve"> </w:t>
      </w:r>
      <w:r w:rsidRPr="00A96C7A">
        <w:t>predicted two “dreaded” kings will die, (Rezin, Pekah) before Isaiah’s own son named Emmanuel is weaned (Isa 8:1-4). Herod was dreaded because he slaughtered the children and he died before Jesus was weaned in Egypt, being born of the virgin Mary.</w:t>
      </w:r>
      <w:r w:rsidR="00C7162C">
        <w:t xml:space="preserve"> (</w:t>
      </w:r>
      <w:r w:rsidR="00C7162C" w:rsidRPr="00C7162C">
        <w:t>Matthew 1:18–25</w:t>
      </w:r>
      <w:r w:rsidR="00C7162C">
        <w:t>)</w:t>
      </w:r>
    </w:p>
    <w:p w14:paraId="0D2FB480" w14:textId="77777777" w:rsidR="00450633" w:rsidRDefault="00450633" w:rsidP="00A96C7A">
      <w:pPr>
        <w:shd w:val="clear" w:color="auto" w:fill="FFFFFF"/>
      </w:pPr>
    </w:p>
    <w:p w14:paraId="24EB17E5" w14:textId="20A24B4E" w:rsidR="00A96C7A" w:rsidRDefault="00450633" w:rsidP="00A96C7A">
      <w:pPr>
        <w:shd w:val="clear" w:color="auto" w:fill="FFFFFF"/>
      </w:pPr>
      <w:r>
        <w:rPr>
          <w:noProof/>
        </w:rPr>
        <w:drawing>
          <wp:inline distT="0" distB="0" distL="0" distR="0" wp14:anchorId="00940E0D" wp14:editId="3638EAB0">
            <wp:extent cx="7315200" cy="6217920"/>
            <wp:effectExtent l="0" t="0" r="0" b="0"/>
            <wp:docPr id="1884096246"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96246" name="Picture 3">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15200" cy="6217920"/>
                    </a:xfrm>
                    <a:prstGeom prst="rect">
                      <a:avLst/>
                    </a:prstGeom>
                    <a:noFill/>
                    <a:ln>
                      <a:noFill/>
                    </a:ln>
                  </pic:spPr>
                </pic:pic>
              </a:graphicData>
            </a:graphic>
          </wp:inline>
        </w:drawing>
      </w:r>
    </w:p>
    <w:p w14:paraId="08D6A964" w14:textId="77777777" w:rsidR="00DD2FA4" w:rsidRDefault="00DD2FA4" w:rsidP="00A96C7A">
      <w:pPr>
        <w:shd w:val="clear" w:color="auto" w:fill="FFFFFF"/>
      </w:pPr>
    </w:p>
    <w:p w14:paraId="21093E3A" w14:textId="6CA3F0C6" w:rsidR="004458A1" w:rsidRDefault="003A6852" w:rsidP="004458A1">
      <w:pPr>
        <w:shd w:val="clear" w:color="auto" w:fill="FFFFFF"/>
      </w:pPr>
      <w:r>
        <w:rPr>
          <w:noProof/>
        </w:rPr>
        <w:lastRenderedPageBreak/>
        <w:drawing>
          <wp:inline distT="0" distB="0" distL="0" distR="0" wp14:anchorId="2B4546B6" wp14:editId="042A03FF">
            <wp:extent cx="7315200" cy="5652135"/>
            <wp:effectExtent l="0" t="0" r="0" b="5715"/>
            <wp:docPr id="2048684465" name="Picture 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4465" name="Picture 9">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15200" cy="5652135"/>
                    </a:xfrm>
                    <a:prstGeom prst="rect">
                      <a:avLst/>
                    </a:prstGeom>
                    <a:noFill/>
                    <a:ln>
                      <a:noFill/>
                    </a:ln>
                  </pic:spPr>
                </pic:pic>
              </a:graphicData>
            </a:graphic>
          </wp:inline>
        </w:drawing>
      </w:r>
    </w:p>
    <w:p w14:paraId="141C2226" w14:textId="76139860" w:rsidR="00DD2FA4" w:rsidRPr="00A96C7A" w:rsidRDefault="00DD2FA4" w:rsidP="00A96C7A">
      <w:pPr>
        <w:shd w:val="clear" w:color="auto" w:fill="FFFFFF"/>
      </w:pPr>
    </w:p>
    <w:p w14:paraId="294BF6EE" w14:textId="1F3F2C6E" w:rsidR="00A96C7A" w:rsidRPr="00456A5C" w:rsidRDefault="00A96C7A" w:rsidP="004D27A5">
      <w:pPr>
        <w:rPr>
          <w:rFonts w:ascii="VAGRounded BT" w:hAnsi="VAGRounded BT"/>
        </w:rPr>
      </w:pPr>
      <w:r w:rsidRPr="00A96C7A">
        <w:rPr>
          <w:rFonts w:ascii="VAGRounded BT" w:hAnsi="VAGRounded BT"/>
        </w:rPr>
        <w:t>Category 3</w:t>
      </w:r>
      <w:r w:rsidRPr="00456A5C">
        <w:rPr>
          <w:rFonts w:ascii="VAGRounded BT" w:hAnsi="VAGRounded BT"/>
        </w:rPr>
        <w:t xml:space="preserve">: </w:t>
      </w:r>
      <w:r w:rsidRPr="00A96C7A">
        <w:rPr>
          <w:rFonts w:ascii="VAGRounded BT" w:hAnsi="VAGRounded BT"/>
        </w:rPr>
        <w:t>Texts that nobody understood to be messianic prophecies until after they were identified in the New Testament as prophecies of Jesus. Taken by themselves, there is no indication they were prophetic in any way. These texts prove God’s foreknowledge, who caused two historical events centuries apart to mirror and echo one another</w:t>
      </w:r>
      <w:r w:rsidRPr="00456A5C">
        <w:rPr>
          <w:rFonts w:ascii="VAGRounded BT" w:hAnsi="VAGRounded BT"/>
        </w:rPr>
        <w:t xml:space="preserve">. </w:t>
      </w:r>
      <w:r w:rsidRPr="00A96C7A">
        <w:rPr>
          <w:rFonts w:ascii="VAGRounded BT" w:hAnsi="VAGRounded BT"/>
        </w:rPr>
        <w:t xml:space="preserve">The first event is based upon well-established history making the typology fulfilled in Christ obvious. </w:t>
      </w:r>
    </w:p>
    <w:p w14:paraId="595DFF6E" w14:textId="77777777" w:rsidR="00A96C7A" w:rsidRDefault="00A96C7A" w:rsidP="00A96C7A">
      <w:pPr>
        <w:pStyle w:val="ListParagraph"/>
        <w:numPr>
          <w:ilvl w:val="0"/>
          <w:numId w:val="3"/>
        </w:numPr>
        <w:shd w:val="clear" w:color="auto" w:fill="FFFFFF"/>
      </w:pPr>
      <w:r w:rsidRPr="00A96C7A">
        <w:t>Matthew 2:15 identified God calling Israel out of Egypt in 1446 BC during the Exodus as a messianic prophecy that was fulfilled when Joseph brought Jesus out of Egypt in 1 BC after Herod died.</w:t>
      </w:r>
    </w:p>
    <w:p w14:paraId="7912A1A8" w14:textId="0DDB3F3C" w:rsidR="00A96C7A" w:rsidRDefault="00A96C7A" w:rsidP="00A96C7A">
      <w:pPr>
        <w:pStyle w:val="ListParagraph"/>
        <w:numPr>
          <w:ilvl w:val="0"/>
          <w:numId w:val="3"/>
        </w:numPr>
        <w:shd w:val="clear" w:color="auto" w:fill="FFFFFF"/>
      </w:pPr>
      <w:r w:rsidRPr="00A96C7A">
        <w:t>John 3:14, Jesus identified the snake Moses put on the pole as a prophecy of his crucifixion.</w:t>
      </w:r>
      <w:r w:rsidR="000231F5">
        <w:t xml:space="preserve"> Both the Devil and Jesus were </w:t>
      </w:r>
      <w:proofErr w:type="gramStart"/>
      <w:r w:rsidR="000231F5">
        <w:t>a</w:t>
      </w:r>
      <w:proofErr w:type="gramEnd"/>
      <w:r w:rsidR="000231F5">
        <w:t xml:space="preserve"> anti-types of a snake.</w:t>
      </w:r>
    </w:p>
    <w:p w14:paraId="683F545B" w14:textId="7DF2321F" w:rsidR="00A96C7A" w:rsidRDefault="00A96C7A" w:rsidP="00A96C7A">
      <w:pPr>
        <w:pStyle w:val="ListParagraph"/>
        <w:numPr>
          <w:ilvl w:val="0"/>
          <w:numId w:val="3"/>
        </w:numPr>
        <w:shd w:val="clear" w:color="auto" w:fill="FFFFFF"/>
      </w:pPr>
      <w:r w:rsidRPr="00A96C7A">
        <w:t>Matthew 12:38</w:t>
      </w:r>
      <w:r>
        <w:t>-42</w:t>
      </w:r>
      <w:r w:rsidRPr="00A96C7A">
        <w:t xml:space="preserve"> Jesus identified the story of Jonah as a prophecy of his death, burial and resurrection.</w:t>
      </w:r>
    </w:p>
    <w:p w14:paraId="008F9187" w14:textId="2363FFF3" w:rsidR="00FF68C3" w:rsidRDefault="004D27A5" w:rsidP="000172C8">
      <w:pPr>
        <w:shd w:val="clear" w:color="auto" w:fill="FFFFFF"/>
        <w:rPr>
          <w:noProof/>
        </w:rPr>
      </w:pPr>
      <w:r>
        <w:rPr>
          <w:noProof/>
        </w:rPr>
        <w:lastRenderedPageBreak/>
        <w:drawing>
          <wp:inline distT="0" distB="0" distL="0" distR="0" wp14:anchorId="53FA97CD" wp14:editId="654E7E4D">
            <wp:extent cx="7315200" cy="5652770"/>
            <wp:effectExtent l="0" t="0" r="0" b="5080"/>
            <wp:docPr id="37060795" name="Picture 4">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0795" name="Picture 4">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15200" cy="5652770"/>
                    </a:xfrm>
                    <a:prstGeom prst="rect">
                      <a:avLst/>
                    </a:prstGeom>
                    <a:noFill/>
                    <a:ln>
                      <a:noFill/>
                    </a:ln>
                  </pic:spPr>
                </pic:pic>
              </a:graphicData>
            </a:graphic>
          </wp:inline>
        </w:drawing>
      </w:r>
    </w:p>
    <w:p w14:paraId="371D2D9B" w14:textId="77777777" w:rsidR="004D27A5" w:rsidRDefault="004D27A5" w:rsidP="000172C8">
      <w:pPr>
        <w:shd w:val="clear" w:color="auto" w:fill="FFFFFF"/>
        <w:rPr>
          <w:noProof/>
        </w:rPr>
      </w:pPr>
    </w:p>
    <w:p w14:paraId="75F4DD36" w14:textId="424C6E35" w:rsidR="00FF68C3" w:rsidRDefault="004D27A5" w:rsidP="004D27A5">
      <w:pPr>
        <w:shd w:val="clear" w:color="auto" w:fill="FFFFFF"/>
        <w:jc w:val="center"/>
        <w:rPr>
          <w:noProof/>
        </w:rPr>
      </w:pPr>
      <w:r>
        <w:rPr>
          <w:noProof/>
        </w:rPr>
        <w:drawing>
          <wp:inline distT="0" distB="0" distL="0" distR="0" wp14:anchorId="24EAB4E0" wp14:editId="4CC2B960">
            <wp:extent cx="3460750" cy="3460750"/>
            <wp:effectExtent l="0" t="0" r="6350" b="6350"/>
            <wp:docPr id="500241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0750" cy="3460750"/>
                    </a:xfrm>
                    <a:prstGeom prst="rect">
                      <a:avLst/>
                    </a:prstGeom>
                    <a:noFill/>
                    <a:ln>
                      <a:noFill/>
                    </a:ln>
                  </pic:spPr>
                </pic:pic>
              </a:graphicData>
            </a:graphic>
          </wp:inline>
        </w:drawing>
      </w:r>
    </w:p>
    <w:p w14:paraId="1AEB05CF" w14:textId="35457090" w:rsidR="000172C8" w:rsidRDefault="004D27A5" w:rsidP="004D27A5">
      <w:pPr>
        <w:rPr>
          <w:noProof/>
        </w:rPr>
      </w:pPr>
      <w:r>
        <w:rPr>
          <w:noProof/>
        </w:rPr>
        <w:br w:type="page"/>
      </w:r>
      <w:r>
        <w:rPr>
          <w:noProof/>
        </w:rPr>
        <w:lastRenderedPageBreak/>
        <w:drawing>
          <wp:inline distT="0" distB="0" distL="0" distR="0" wp14:anchorId="7BC9130E" wp14:editId="713107BB">
            <wp:extent cx="7315200" cy="6438900"/>
            <wp:effectExtent l="0" t="0" r="0" b="0"/>
            <wp:docPr id="1482603951" name="Picture 3">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03951" name="Picture 3">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15200" cy="6438900"/>
                    </a:xfrm>
                    <a:prstGeom prst="rect">
                      <a:avLst/>
                    </a:prstGeom>
                    <a:noFill/>
                    <a:ln>
                      <a:noFill/>
                    </a:ln>
                  </pic:spPr>
                </pic:pic>
              </a:graphicData>
            </a:graphic>
          </wp:inline>
        </w:drawing>
      </w:r>
    </w:p>
    <w:p w14:paraId="27D1B07C" w14:textId="77777777" w:rsidR="004D27A5" w:rsidRDefault="004D27A5">
      <w:pPr>
        <w:rPr>
          <w:rFonts w:ascii="VAGRounded BT" w:eastAsiaTheme="minorHAnsi" w:hAnsi="VAGRounded BT"/>
          <w:sz w:val="22"/>
          <w:szCs w:val="22"/>
          <w:lang w:bidi="ar-SA"/>
        </w:rPr>
      </w:pPr>
      <w:r>
        <w:rPr>
          <w:rFonts w:ascii="VAGRounded BT" w:hAnsi="VAGRounded BT"/>
          <w:sz w:val="22"/>
          <w:szCs w:val="22"/>
        </w:rPr>
        <w:br w:type="page"/>
      </w:r>
    </w:p>
    <w:p w14:paraId="17B855D3" w14:textId="192B2907" w:rsidR="000172C8" w:rsidRPr="000172C8" w:rsidRDefault="005016A0" w:rsidP="000172C8">
      <w:pPr>
        <w:pStyle w:val="NoSpacing"/>
        <w:rPr>
          <w:rFonts w:ascii="VAGRounded BT" w:hAnsi="VAGRounded BT"/>
          <w:color w:val="000000"/>
          <w:sz w:val="22"/>
          <w:szCs w:val="22"/>
        </w:rPr>
      </w:pPr>
      <w:r>
        <w:rPr>
          <w:rFonts w:ascii="VAGRounded BT" w:hAnsi="VAGRounded BT"/>
          <w:color w:val="000000"/>
          <w:sz w:val="22"/>
          <w:szCs w:val="22"/>
        </w:rPr>
        <w:lastRenderedPageBreak/>
        <w:t xml:space="preserve">DISCUSSION: </w:t>
      </w:r>
      <w:r w:rsidR="000172C8" w:rsidRPr="000172C8">
        <w:rPr>
          <w:rFonts w:ascii="VAGRounded BT" w:hAnsi="VAGRounded BT"/>
          <w:color w:val="000000"/>
          <w:sz w:val="22"/>
          <w:szCs w:val="22"/>
        </w:rPr>
        <w:t>Biblical/Jewish/Rabbinical Midrashic Hermeneutic Interpretation method is what Christian’s call “Necessary Inference” and is specifically referenced three times in scripture: Ezra 7:10; 2 Chron 13:22; 24:27.</w:t>
      </w:r>
    </w:p>
    <w:p w14:paraId="2F2C922A" w14:textId="3D207449" w:rsidR="000172C8" w:rsidRPr="005F6F23" w:rsidRDefault="000172C8" w:rsidP="005F6F23">
      <w:pPr>
        <w:pStyle w:val="ListParagraph"/>
        <w:numPr>
          <w:ilvl w:val="1"/>
          <w:numId w:val="5"/>
        </w:numPr>
        <w:autoSpaceDE w:val="0"/>
        <w:autoSpaceDN w:val="0"/>
        <w:adjustRightInd w:val="0"/>
        <w:rPr>
          <w:sz w:val="22"/>
          <w:szCs w:val="22"/>
        </w:rPr>
      </w:pPr>
      <w:r w:rsidRPr="009F5E3D">
        <w:rPr>
          <w:sz w:val="22"/>
          <w:szCs w:val="22"/>
        </w:rPr>
        <w:t xml:space="preserve">Bible authority is established by obeying the silence of God, command, example, and necessary inference also called Midrashic hermeneutic. What Christians today call “Necessary Inference” is identical what first century Jews called “Midrashic interpretation”. </w:t>
      </w:r>
      <w:r w:rsidRPr="005F6F23">
        <w:rPr>
          <w:sz w:val="22"/>
          <w:szCs w:val="22"/>
        </w:rPr>
        <w:t>A hermeneutic is a generic term for one of many ways of interpreting the Bible. The Midrash Hermeneutic is one specific method of interpreting the Bible and was the one used by used by Jesus, the Holy Spirit, Old Testament prophets and inspired New Testament writers.</w:t>
      </w:r>
    </w:p>
    <w:p w14:paraId="5BF01120" w14:textId="77777777" w:rsidR="000172C8" w:rsidRPr="00D5088C" w:rsidRDefault="000172C8" w:rsidP="000172C8">
      <w:pPr>
        <w:pStyle w:val="ListParagraph"/>
        <w:numPr>
          <w:ilvl w:val="1"/>
          <w:numId w:val="5"/>
        </w:numPr>
        <w:autoSpaceDE w:val="0"/>
        <w:autoSpaceDN w:val="0"/>
        <w:adjustRightInd w:val="0"/>
        <w:rPr>
          <w:sz w:val="22"/>
          <w:szCs w:val="22"/>
        </w:rPr>
      </w:pPr>
      <w:r w:rsidRPr="00D5088C">
        <w:rPr>
          <w:sz w:val="22"/>
          <w:szCs w:val="22"/>
        </w:rPr>
        <w:t>The clearest examples of Midrashic Hermeneutic method are the Gospel of Matthew, Paul’s writings and especially the book of Hebrews (written by Paul).</w:t>
      </w:r>
    </w:p>
    <w:p w14:paraId="23CDD77C" w14:textId="77777777" w:rsidR="000172C8" w:rsidRPr="00D5088C" w:rsidRDefault="000172C8" w:rsidP="000172C8">
      <w:pPr>
        <w:pStyle w:val="ListParagraph"/>
        <w:numPr>
          <w:ilvl w:val="1"/>
          <w:numId w:val="5"/>
        </w:numPr>
        <w:autoSpaceDE w:val="0"/>
        <w:autoSpaceDN w:val="0"/>
        <w:adjustRightInd w:val="0"/>
        <w:rPr>
          <w:sz w:val="22"/>
          <w:szCs w:val="22"/>
        </w:rPr>
      </w:pPr>
      <w:r w:rsidRPr="00D5088C">
        <w:rPr>
          <w:sz w:val="22"/>
          <w:szCs w:val="22"/>
        </w:rPr>
        <w:t>The </w:t>
      </w:r>
      <w:hyperlink r:id="rId26" w:history="1">
        <w:r w:rsidRPr="00D5088C">
          <w:rPr>
            <w:rStyle w:val="Hyperlink"/>
            <w:sz w:val="22"/>
            <w:szCs w:val="22"/>
          </w:rPr>
          <w:t>Olivet Discourse</w:t>
        </w:r>
      </w:hyperlink>
      <w:r w:rsidRPr="00D5088C">
        <w:rPr>
          <w:sz w:val="22"/>
          <w:szCs w:val="22"/>
        </w:rPr>
        <w:t xml:space="preserve"> becomes a triple prophecy using the Midrashic Hermeneutical method of first, the Christ coming in his kingdom on Pentecost AD 33, second, the coming of Christ in destruction in AD 70 and third, the “second coming” in Judgement at the end of time. Many elements of the Jesus’ prophecy in Matthew 24 are dual prophecies of both the coming of the Lord in Judgment in AD 70 and the future second coming. Our modern thinking wants to identify each verse in Matthew 24 as speaking either of the destruction of Jerusalem in AD 70 or the future second coming but this is impossible with most Midrashic prophetic messianic texts. The final product is a </w:t>
      </w:r>
      <w:proofErr w:type="gramStart"/>
      <w:r w:rsidRPr="00D5088C">
        <w:rPr>
          <w:sz w:val="22"/>
          <w:szCs w:val="22"/>
        </w:rPr>
        <w:t>nice neat</w:t>
      </w:r>
      <w:proofErr w:type="gramEnd"/>
      <w:r w:rsidRPr="00D5088C">
        <w:rPr>
          <w:sz w:val="22"/>
          <w:szCs w:val="22"/>
        </w:rPr>
        <w:t xml:space="preserve"> list of two sets of verses, each applying to two separate events. The error of this approach is becomes evident when you try to do the same thing in the dual prophecies of </w:t>
      </w:r>
      <w:hyperlink r:id="rId27" w:history="1">
        <w:r w:rsidRPr="00D5088C">
          <w:rPr>
            <w:rStyle w:val="Hyperlink"/>
            <w:sz w:val="22"/>
            <w:szCs w:val="22"/>
          </w:rPr>
          <w:t>Isaiah 7:14</w:t>
        </w:r>
      </w:hyperlink>
      <w:r w:rsidRPr="00D5088C">
        <w:rPr>
          <w:sz w:val="22"/>
          <w:szCs w:val="22"/>
        </w:rPr>
        <w:t>; </w:t>
      </w:r>
      <w:hyperlink r:id="rId28" w:history="1">
        <w:r w:rsidRPr="00D5088C">
          <w:rPr>
            <w:rStyle w:val="Hyperlink"/>
            <w:sz w:val="22"/>
            <w:szCs w:val="22"/>
          </w:rPr>
          <w:t>Isaiah 53</w:t>
        </w:r>
      </w:hyperlink>
      <w:r w:rsidRPr="00D5088C">
        <w:rPr>
          <w:sz w:val="22"/>
          <w:szCs w:val="22"/>
        </w:rPr>
        <w:t> and </w:t>
      </w:r>
      <w:hyperlink r:id="rId29" w:history="1">
        <w:r w:rsidRPr="00D5088C">
          <w:rPr>
            <w:rStyle w:val="Hyperlink"/>
            <w:sz w:val="22"/>
            <w:szCs w:val="22"/>
          </w:rPr>
          <w:t>2 Samuel 7:14</w:t>
        </w:r>
      </w:hyperlink>
      <w:r w:rsidRPr="00D5088C">
        <w:rPr>
          <w:sz w:val="22"/>
          <w:szCs w:val="22"/>
        </w:rPr>
        <w:t>. The correct approach is to view all of </w:t>
      </w:r>
      <w:hyperlink r:id="rId30" w:history="1">
        <w:r w:rsidRPr="00D5088C">
          <w:rPr>
            <w:rStyle w:val="Hyperlink"/>
            <w:sz w:val="22"/>
            <w:szCs w:val="22"/>
          </w:rPr>
          <w:t>Matthew 24</w:t>
        </w:r>
      </w:hyperlink>
      <w:r w:rsidRPr="00D5088C">
        <w:rPr>
          <w:sz w:val="22"/>
          <w:szCs w:val="22"/>
        </w:rPr>
        <w:t> as a dual or triple prophecy.</w:t>
      </w:r>
    </w:p>
    <w:p w14:paraId="2AD0883D" w14:textId="77777777" w:rsidR="000172C8" w:rsidRPr="00D5088C" w:rsidRDefault="000172C8" w:rsidP="000172C8">
      <w:pPr>
        <w:pStyle w:val="ListParagraph"/>
        <w:numPr>
          <w:ilvl w:val="1"/>
          <w:numId w:val="5"/>
        </w:numPr>
        <w:autoSpaceDE w:val="0"/>
        <w:autoSpaceDN w:val="0"/>
        <w:adjustRightInd w:val="0"/>
        <w:rPr>
          <w:sz w:val="22"/>
          <w:szCs w:val="22"/>
        </w:rPr>
      </w:pPr>
      <w:r>
        <w:rPr>
          <w:sz w:val="22"/>
          <w:szCs w:val="22"/>
        </w:rPr>
        <w:t xml:space="preserve">The book of </w:t>
      </w:r>
      <w:r w:rsidRPr="00D5088C">
        <w:rPr>
          <w:sz w:val="22"/>
          <w:szCs w:val="22"/>
        </w:rPr>
        <w:t>Ezekiel was dual prophecy of the destruction of Jerusalem in 587 BC and AD 70. Revelation itself is an exact chapter by chapter, thought by thought remake of the book of Ezekiel. The Midrashic Hermeneutic allows us to use Ezekiel to decodes Revelation.</w:t>
      </w:r>
    </w:p>
    <w:p w14:paraId="1D075DFC" w14:textId="77777777" w:rsidR="000172C8" w:rsidRPr="00D5088C" w:rsidRDefault="000172C8" w:rsidP="000172C8">
      <w:pPr>
        <w:pStyle w:val="ListParagraph"/>
        <w:numPr>
          <w:ilvl w:val="1"/>
          <w:numId w:val="5"/>
        </w:numPr>
        <w:autoSpaceDE w:val="0"/>
        <w:autoSpaceDN w:val="0"/>
        <w:adjustRightInd w:val="0"/>
        <w:rPr>
          <w:sz w:val="22"/>
          <w:szCs w:val="22"/>
        </w:rPr>
      </w:pPr>
      <w:r w:rsidRPr="00D5088C">
        <w:rPr>
          <w:sz w:val="22"/>
          <w:szCs w:val="22"/>
        </w:rPr>
        <w:t>Modern Jewish Rabbis use the Midrashic hermeneutic in their synagogues and are intimately familiar with it. When Jewish Rabbis today are critical with the way Matthew connected messianic prophecy in the Tanakh to Jesus of Nazareth, they are being hypocritical because their own methods seen in their own rabbinical writings are many times more spatial, abstract and speculative.</w:t>
      </w:r>
    </w:p>
    <w:p w14:paraId="3EAD4D83" w14:textId="77777777" w:rsidR="000172C8" w:rsidRPr="00592668" w:rsidRDefault="000172C8" w:rsidP="000172C8">
      <w:pPr>
        <w:pStyle w:val="ListParagraph"/>
        <w:numPr>
          <w:ilvl w:val="1"/>
          <w:numId w:val="5"/>
        </w:numPr>
        <w:autoSpaceDE w:val="0"/>
        <w:autoSpaceDN w:val="0"/>
        <w:adjustRightInd w:val="0"/>
        <w:rPr>
          <w:sz w:val="22"/>
          <w:szCs w:val="22"/>
        </w:rPr>
      </w:pPr>
      <w:r w:rsidRPr="00D5088C">
        <w:rPr>
          <w:sz w:val="22"/>
          <w:szCs w:val="22"/>
        </w:rPr>
        <w:t>Midrash is how Christians today determine faith and doctrine in the church which includes obeying the silence of scripture, direct command, approved apostolic example and inference as witnessed in how the Christians in Acts 15 refuted the need for the gentiles to be circumcised to be saved.</w:t>
      </w:r>
    </w:p>
    <w:p w14:paraId="4B6EE903" w14:textId="77777777" w:rsidR="00450633" w:rsidRDefault="00450633"/>
    <w:p w14:paraId="59DD3AD9" w14:textId="350D84D4" w:rsidR="00450633" w:rsidRDefault="00450633"/>
    <w:p w14:paraId="1E2A8E7C" w14:textId="77777777" w:rsidR="00456A5C" w:rsidRDefault="00456A5C"/>
    <w:p w14:paraId="2EDF3AEF" w14:textId="46D60708" w:rsidR="005F6F23" w:rsidRDefault="005F6F23">
      <w:pPr>
        <w:rPr>
          <w:noProof/>
        </w:rPr>
      </w:pPr>
      <w:r>
        <w:rPr>
          <w:noProof/>
        </w:rPr>
        <w:br w:type="page"/>
      </w:r>
    </w:p>
    <w:p w14:paraId="1BD8A60F" w14:textId="6AEFF791" w:rsidR="005F6F23" w:rsidRDefault="00607288">
      <w:pPr>
        <w:rPr>
          <w:noProof/>
        </w:rPr>
      </w:pPr>
      <w:r>
        <w:rPr>
          <w:noProof/>
        </w:rPr>
        <w:lastRenderedPageBreak/>
        <w:drawing>
          <wp:inline distT="0" distB="0" distL="0" distR="0" wp14:anchorId="12F95417" wp14:editId="5B0BD908">
            <wp:extent cx="7315200" cy="6667500"/>
            <wp:effectExtent l="0" t="0" r="0" b="0"/>
            <wp:docPr id="1327810216" name="Pictur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810216" name="Picture 10">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315200" cy="6667500"/>
                    </a:xfrm>
                    <a:prstGeom prst="rect">
                      <a:avLst/>
                    </a:prstGeom>
                    <a:noFill/>
                    <a:ln>
                      <a:noFill/>
                    </a:ln>
                  </pic:spPr>
                </pic:pic>
              </a:graphicData>
            </a:graphic>
          </wp:inline>
        </w:drawing>
      </w:r>
      <w:r w:rsidR="005F6F23">
        <w:rPr>
          <w:noProof/>
        </w:rPr>
        <w:lastRenderedPageBreak/>
        <w:drawing>
          <wp:inline distT="0" distB="0" distL="0" distR="0" wp14:anchorId="4101CEEE" wp14:editId="25823EC6">
            <wp:extent cx="7315200" cy="7353300"/>
            <wp:effectExtent l="0" t="0" r="0" b="0"/>
            <wp:docPr id="443724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25094" cy="7363246"/>
                    </a:xfrm>
                    <a:prstGeom prst="rect">
                      <a:avLst/>
                    </a:prstGeom>
                    <a:noFill/>
                    <a:ln>
                      <a:noFill/>
                    </a:ln>
                  </pic:spPr>
                </pic:pic>
              </a:graphicData>
            </a:graphic>
          </wp:inline>
        </w:drawing>
      </w:r>
    </w:p>
    <w:p w14:paraId="1163CE44" w14:textId="77777777" w:rsidR="005F6F23" w:rsidRDefault="005F6F23">
      <w:pPr>
        <w:rPr>
          <w:noProof/>
        </w:rPr>
      </w:pPr>
    </w:p>
    <w:p w14:paraId="1FB4263D" w14:textId="3CECCEB6" w:rsidR="005F6F23" w:rsidRDefault="005F6F23">
      <w:r>
        <w:rPr>
          <w:noProof/>
        </w:rPr>
        <w:lastRenderedPageBreak/>
        <w:drawing>
          <wp:inline distT="0" distB="0" distL="0" distR="0" wp14:anchorId="768B8CB9" wp14:editId="66F939DD">
            <wp:extent cx="7315200" cy="5652770"/>
            <wp:effectExtent l="0" t="0" r="0" b="5080"/>
            <wp:docPr id="876924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315200" cy="5652770"/>
                    </a:xfrm>
                    <a:prstGeom prst="rect">
                      <a:avLst/>
                    </a:prstGeom>
                    <a:noFill/>
                    <a:ln>
                      <a:noFill/>
                    </a:ln>
                  </pic:spPr>
                </pic:pic>
              </a:graphicData>
            </a:graphic>
          </wp:inline>
        </w:drawing>
      </w:r>
    </w:p>
    <w:p w14:paraId="5D9AC802" w14:textId="77777777" w:rsidR="000231F5" w:rsidRDefault="000231F5">
      <w:pPr>
        <w:rPr>
          <w:noProof/>
        </w:rPr>
      </w:pPr>
    </w:p>
    <w:p w14:paraId="7775F826" w14:textId="1566D042" w:rsidR="009F2A2E" w:rsidRDefault="009F2A2E">
      <w:r>
        <w:br w:type="page"/>
      </w:r>
      <w:r>
        <w:rPr>
          <w:noProof/>
        </w:rPr>
        <w:lastRenderedPageBreak/>
        <w:drawing>
          <wp:inline distT="0" distB="0" distL="0" distR="0" wp14:anchorId="740BA7BA" wp14:editId="40902560">
            <wp:extent cx="7315200" cy="9465310"/>
            <wp:effectExtent l="0" t="0" r="0" b="2540"/>
            <wp:docPr id="10454058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15200" cy="9465310"/>
                    </a:xfrm>
                    <a:prstGeom prst="rect">
                      <a:avLst/>
                    </a:prstGeom>
                    <a:noFill/>
                    <a:ln>
                      <a:noFill/>
                    </a:ln>
                  </pic:spPr>
                </pic:pic>
              </a:graphicData>
            </a:graphic>
          </wp:inline>
        </w:drawing>
      </w:r>
    </w:p>
    <w:sectPr w:rsidR="009F2A2E" w:rsidSect="00B6652B">
      <w:footerReference w:type="default" r:id="rId36"/>
      <w:pgSz w:w="12240" w:h="15840" w:code="1"/>
      <w:pgMar w:top="360" w:right="360" w:bottom="360" w:left="3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1792F" w14:textId="77777777" w:rsidR="00633E01" w:rsidRDefault="00633E01" w:rsidP="00FA7701">
      <w:r>
        <w:separator/>
      </w:r>
    </w:p>
  </w:endnote>
  <w:endnote w:type="continuationSeparator" w:id="0">
    <w:p w14:paraId="7AA9595C" w14:textId="77777777" w:rsidR="00633E01" w:rsidRDefault="00633E01" w:rsidP="00FA7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Latha">
    <w:altName w:val="Nirmala UI"/>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 w:name="VAGRounded BT">
    <w:panose1 w:val="020F0702020204020204"/>
    <w:charset w:val="00"/>
    <w:family w:val="swiss"/>
    <w:pitch w:val="variable"/>
    <w:sig w:usb0="00000087" w:usb1="00000000" w:usb2="00000000" w:usb3="00000000" w:csb0="0000001B" w:csb1="00000000"/>
  </w:font>
  <w:font w:name="Aptos Display">
    <w:charset w:val="00"/>
    <w:family w:val="swiss"/>
    <w:pitch w:val="variable"/>
    <w:sig w:usb0="20000287" w:usb1="00000003" w:usb2="00000000" w:usb3="00000000" w:csb0="0000019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099257"/>
      <w:docPartObj>
        <w:docPartGallery w:val="Page Numbers (Bottom of Page)"/>
        <w:docPartUnique/>
      </w:docPartObj>
    </w:sdtPr>
    <w:sdtEndPr>
      <w:rPr>
        <w:noProof/>
      </w:rPr>
    </w:sdtEndPr>
    <w:sdtContent>
      <w:p w14:paraId="1BDEC94E" w14:textId="08974B68" w:rsidR="00FA7701" w:rsidRDefault="00FA77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611D8B" w14:textId="77777777" w:rsidR="00FA7701" w:rsidRDefault="00FA7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78A13" w14:textId="77777777" w:rsidR="00633E01" w:rsidRDefault="00633E01" w:rsidP="00FA7701">
      <w:r>
        <w:separator/>
      </w:r>
    </w:p>
  </w:footnote>
  <w:footnote w:type="continuationSeparator" w:id="0">
    <w:p w14:paraId="6362FCEC" w14:textId="77777777" w:rsidR="00633E01" w:rsidRDefault="00633E01" w:rsidP="00FA77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45FBF"/>
    <w:multiLevelType w:val="hybridMultilevel"/>
    <w:tmpl w:val="F9ACD2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E2A209C"/>
    <w:multiLevelType w:val="hybridMultilevel"/>
    <w:tmpl w:val="17A0DE04"/>
    <w:lvl w:ilvl="0" w:tplc="E110A694">
      <w:start w:val="1"/>
      <w:numFmt w:val="decimal"/>
      <w:lvlText w:val="%1."/>
      <w:lvlJc w:val="left"/>
      <w:pPr>
        <w:ind w:left="1200" w:hanging="84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BC169D9"/>
    <w:multiLevelType w:val="hybridMultilevel"/>
    <w:tmpl w:val="0B0E6D5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616A95"/>
    <w:multiLevelType w:val="hybridMultilevel"/>
    <w:tmpl w:val="36224158"/>
    <w:lvl w:ilvl="0" w:tplc="FFFFFFFF">
      <w:start w:val="1"/>
      <w:numFmt w:val="decimal"/>
      <w:lvlText w:val="%1."/>
      <w:lvlJc w:val="left"/>
      <w:pPr>
        <w:ind w:left="720" w:hanging="360"/>
      </w:pPr>
    </w:lvl>
    <w:lvl w:ilvl="1" w:tplc="10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79E0854"/>
    <w:multiLevelType w:val="hybridMultilevel"/>
    <w:tmpl w:val="337CA038"/>
    <w:lvl w:ilvl="0" w:tplc="1009000F">
      <w:start w:val="1"/>
      <w:numFmt w:val="decimal"/>
      <w:lvlText w:val="%1."/>
      <w:lvlJc w:val="left"/>
      <w:pPr>
        <w:ind w:left="720" w:hanging="360"/>
      </w:pPr>
    </w:lvl>
    <w:lvl w:ilvl="1" w:tplc="1ADCB8C8">
      <w:start w:val="1"/>
      <w:numFmt w:val="lowerLetter"/>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9C94449"/>
    <w:multiLevelType w:val="hybridMultilevel"/>
    <w:tmpl w:val="BE487A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397B5A7E"/>
    <w:multiLevelType w:val="hybridMultilevel"/>
    <w:tmpl w:val="CC52F7F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40E85755"/>
    <w:multiLevelType w:val="hybridMultilevel"/>
    <w:tmpl w:val="3B2683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4E9E5553"/>
    <w:multiLevelType w:val="hybridMultilevel"/>
    <w:tmpl w:val="293AE04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6C861C3A"/>
    <w:multiLevelType w:val="hybridMultilevel"/>
    <w:tmpl w:val="1660DB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6E160C98"/>
    <w:multiLevelType w:val="hybridMultilevel"/>
    <w:tmpl w:val="AE9AD238"/>
    <w:lvl w:ilvl="0" w:tplc="E110A694">
      <w:start w:val="1"/>
      <w:numFmt w:val="decimal"/>
      <w:lvlText w:val="%1."/>
      <w:lvlJc w:val="left"/>
      <w:pPr>
        <w:ind w:left="1560" w:hanging="84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7E1839C6"/>
    <w:multiLevelType w:val="hybridMultilevel"/>
    <w:tmpl w:val="9D1A72F2"/>
    <w:lvl w:ilvl="0" w:tplc="1009000F">
      <w:start w:val="1"/>
      <w:numFmt w:val="decimal"/>
      <w:lvlText w:val="%1."/>
      <w:lvlJc w:val="left"/>
      <w:pPr>
        <w:ind w:left="1560" w:hanging="84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087075507">
    <w:abstractNumId w:val="7"/>
  </w:num>
  <w:num w:numId="2" w16cid:durableId="1387022174">
    <w:abstractNumId w:val="5"/>
  </w:num>
  <w:num w:numId="3" w16cid:durableId="1010060365">
    <w:abstractNumId w:val="9"/>
  </w:num>
  <w:num w:numId="4" w16cid:durableId="697782247">
    <w:abstractNumId w:val="2"/>
  </w:num>
  <w:num w:numId="5" w16cid:durableId="395665845">
    <w:abstractNumId w:val="3"/>
  </w:num>
  <w:num w:numId="6" w16cid:durableId="922034246">
    <w:abstractNumId w:val="8"/>
  </w:num>
  <w:num w:numId="7" w16cid:durableId="2024747413">
    <w:abstractNumId w:val="1"/>
  </w:num>
  <w:num w:numId="8" w16cid:durableId="1997800583">
    <w:abstractNumId w:val="10"/>
  </w:num>
  <w:num w:numId="9" w16cid:durableId="597298488">
    <w:abstractNumId w:val="11"/>
  </w:num>
  <w:num w:numId="10" w16cid:durableId="1485853411">
    <w:abstractNumId w:val="0"/>
  </w:num>
  <w:num w:numId="11" w16cid:durableId="2138375615">
    <w:abstractNumId w:val="4"/>
  </w:num>
  <w:num w:numId="12" w16cid:durableId="12550441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C7A"/>
    <w:rsid w:val="00007B0B"/>
    <w:rsid w:val="00007CEC"/>
    <w:rsid w:val="00011E25"/>
    <w:rsid w:val="00016A1B"/>
    <w:rsid w:val="000172C8"/>
    <w:rsid w:val="000231F5"/>
    <w:rsid w:val="00030CB4"/>
    <w:rsid w:val="00031258"/>
    <w:rsid w:val="00032948"/>
    <w:rsid w:val="0003333A"/>
    <w:rsid w:val="000420A3"/>
    <w:rsid w:val="000462B4"/>
    <w:rsid w:val="00063177"/>
    <w:rsid w:val="00066AF1"/>
    <w:rsid w:val="0007066B"/>
    <w:rsid w:val="00072DC6"/>
    <w:rsid w:val="0007554D"/>
    <w:rsid w:val="0008264D"/>
    <w:rsid w:val="00082F6A"/>
    <w:rsid w:val="00083209"/>
    <w:rsid w:val="00095D6B"/>
    <w:rsid w:val="000A6E6C"/>
    <w:rsid w:val="000B662B"/>
    <w:rsid w:val="000D6B44"/>
    <w:rsid w:val="000E3FF6"/>
    <w:rsid w:val="000E494C"/>
    <w:rsid w:val="000E7F6B"/>
    <w:rsid w:val="000F4565"/>
    <w:rsid w:val="000F509E"/>
    <w:rsid w:val="00101003"/>
    <w:rsid w:val="00106E21"/>
    <w:rsid w:val="00116281"/>
    <w:rsid w:val="001200EE"/>
    <w:rsid w:val="00126262"/>
    <w:rsid w:val="0012733A"/>
    <w:rsid w:val="00133ADA"/>
    <w:rsid w:val="0013742C"/>
    <w:rsid w:val="00144338"/>
    <w:rsid w:val="00144E92"/>
    <w:rsid w:val="001609D3"/>
    <w:rsid w:val="00161AC4"/>
    <w:rsid w:val="00186A03"/>
    <w:rsid w:val="001A32EA"/>
    <w:rsid w:val="001A719B"/>
    <w:rsid w:val="001C0C07"/>
    <w:rsid w:val="001C0DA8"/>
    <w:rsid w:val="001D2EDB"/>
    <w:rsid w:val="001D6045"/>
    <w:rsid w:val="001E521C"/>
    <w:rsid w:val="001E726D"/>
    <w:rsid w:val="001F7ED1"/>
    <w:rsid w:val="002110A5"/>
    <w:rsid w:val="00212F04"/>
    <w:rsid w:val="00214EC1"/>
    <w:rsid w:val="00235755"/>
    <w:rsid w:val="00247DF2"/>
    <w:rsid w:val="00252B8F"/>
    <w:rsid w:val="00255DB6"/>
    <w:rsid w:val="002702C0"/>
    <w:rsid w:val="00271B0E"/>
    <w:rsid w:val="00282C36"/>
    <w:rsid w:val="002D1E83"/>
    <w:rsid w:val="002E74CF"/>
    <w:rsid w:val="00317215"/>
    <w:rsid w:val="003260BD"/>
    <w:rsid w:val="00337C6D"/>
    <w:rsid w:val="00340BB3"/>
    <w:rsid w:val="00342B6E"/>
    <w:rsid w:val="003479EB"/>
    <w:rsid w:val="00350EC4"/>
    <w:rsid w:val="00382171"/>
    <w:rsid w:val="00382F5D"/>
    <w:rsid w:val="00392D14"/>
    <w:rsid w:val="0039788A"/>
    <w:rsid w:val="003A00AD"/>
    <w:rsid w:val="003A6852"/>
    <w:rsid w:val="003D717B"/>
    <w:rsid w:val="003E1FAA"/>
    <w:rsid w:val="003F4091"/>
    <w:rsid w:val="00406965"/>
    <w:rsid w:val="00416BB2"/>
    <w:rsid w:val="00422DDC"/>
    <w:rsid w:val="0042302F"/>
    <w:rsid w:val="004259BD"/>
    <w:rsid w:val="0043197B"/>
    <w:rsid w:val="00431E01"/>
    <w:rsid w:val="00433CFD"/>
    <w:rsid w:val="004458A1"/>
    <w:rsid w:val="00450633"/>
    <w:rsid w:val="00456115"/>
    <w:rsid w:val="004568C8"/>
    <w:rsid w:val="00456A5C"/>
    <w:rsid w:val="00461D9F"/>
    <w:rsid w:val="00462501"/>
    <w:rsid w:val="00470163"/>
    <w:rsid w:val="00477172"/>
    <w:rsid w:val="00486418"/>
    <w:rsid w:val="0049154A"/>
    <w:rsid w:val="00493822"/>
    <w:rsid w:val="004A6FD5"/>
    <w:rsid w:val="004B744B"/>
    <w:rsid w:val="004B78C2"/>
    <w:rsid w:val="004C18EF"/>
    <w:rsid w:val="004C227A"/>
    <w:rsid w:val="004C369A"/>
    <w:rsid w:val="004C4E14"/>
    <w:rsid w:val="004D27A5"/>
    <w:rsid w:val="004D51D3"/>
    <w:rsid w:val="004F0BCE"/>
    <w:rsid w:val="005016A0"/>
    <w:rsid w:val="0050226E"/>
    <w:rsid w:val="00502442"/>
    <w:rsid w:val="00517A3E"/>
    <w:rsid w:val="005351D6"/>
    <w:rsid w:val="0053520E"/>
    <w:rsid w:val="00540CB2"/>
    <w:rsid w:val="005419E6"/>
    <w:rsid w:val="0054679A"/>
    <w:rsid w:val="00576E3C"/>
    <w:rsid w:val="00582B51"/>
    <w:rsid w:val="005A1F09"/>
    <w:rsid w:val="005A21ED"/>
    <w:rsid w:val="005B6140"/>
    <w:rsid w:val="005B6364"/>
    <w:rsid w:val="005C29C1"/>
    <w:rsid w:val="005D2D41"/>
    <w:rsid w:val="005E36AC"/>
    <w:rsid w:val="005F6F23"/>
    <w:rsid w:val="006032F4"/>
    <w:rsid w:val="00607288"/>
    <w:rsid w:val="00610997"/>
    <w:rsid w:val="006116BB"/>
    <w:rsid w:val="006155EF"/>
    <w:rsid w:val="0061602D"/>
    <w:rsid w:val="006164A9"/>
    <w:rsid w:val="00625140"/>
    <w:rsid w:val="00633E01"/>
    <w:rsid w:val="00651F6C"/>
    <w:rsid w:val="00656FE1"/>
    <w:rsid w:val="0066525F"/>
    <w:rsid w:val="00674A35"/>
    <w:rsid w:val="0067703B"/>
    <w:rsid w:val="006A3188"/>
    <w:rsid w:val="006C4FE5"/>
    <w:rsid w:val="006C6552"/>
    <w:rsid w:val="006D31F4"/>
    <w:rsid w:val="006D34F1"/>
    <w:rsid w:val="006D4D3B"/>
    <w:rsid w:val="006E0515"/>
    <w:rsid w:val="006E0EF7"/>
    <w:rsid w:val="006E1944"/>
    <w:rsid w:val="006E1D44"/>
    <w:rsid w:val="006E37CE"/>
    <w:rsid w:val="006F626E"/>
    <w:rsid w:val="00707EDF"/>
    <w:rsid w:val="00710436"/>
    <w:rsid w:val="00741820"/>
    <w:rsid w:val="00747AA3"/>
    <w:rsid w:val="0076176F"/>
    <w:rsid w:val="00765A74"/>
    <w:rsid w:val="0076758A"/>
    <w:rsid w:val="0077337F"/>
    <w:rsid w:val="007757B1"/>
    <w:rsid w:val="0078167C"/>
    <w:rsid w:val="0079185B"/>
    <w:rsid w:val="00791E3F"/>
    <w:rsid w:val="00792A82"/>
    <w:rsid w:val="007A1698"/>
    <w:rsid w:val="007A38AC"/>
    <w:rsid w:val="007A7962"/>
    <w:rsid w:val="007B05A3"/>
    <w:rsid w:val="007D15DF"/>
    <w:rsid w:val="007D2BB3"/>
    <w:rsid w:val="007D3D62"/>
    <w:rsid w:val="007D7AA5"/>
    <w:rsid w:val="007E12BC"/>
    <w:rsid w:val="007E458B"/>
    <w:rsid w:val="007E4A9D"/>
    <w:rsid w:val="007F53D7"/>
    <w:rsid w:val="0080142C"/>
    <w:rsid w:val="008016F8"/>
    <w:rsid w:val="0081009F"/>
    <w:rsid w:val="00812169"/>
    <w:rsid w:val="0083078A"/>
    <w:rsid w:val="0084562E"/>
    <w:rsid w:val="00877280"/>
    <w:rsid w:val="00884783"/>
    <w:rsid w:val="00893344"/>
    <w:rsid w:val="00893CAB"/>
    <w:rsid w:val="008B2497"/>
    <w:rsid w:val="008B4FA0"/>
    <w:rsid w:val="008B7066"/>
    <w:rsid w:val="008C3953"/>
    <w:rsid w:val="008C3F55"/>
    <w:rsid w:val="008D6841"/>
    <w:rsid w:val="008E3C8B"/>
    <w:rsid w:val="008E7AF0"/>
    <w:rsid w:val="008F5441"/>
    <w:rsid w:val="009065E3"/>
    <w:rsid w:val="009103CE"/>
    <w:rsid w:val="00920D32"/>
    <w:rsid w:val="00937BAF"/>
    <w:rsid w:val="00941499"/>
    <w:rsid w:val="0095275C"/>
    <w:rsid w:val="00965077"/>
    <w:rsid w:val="009664E8"/>
    <w:rsid w:val="00973E0F"/>
    <w:rsid w:val="00975B2A"/>
    <w:rsid w:val="00976176"/>
    <w:rsid w:val="00982AF9"/>
    <w:rsid w:val="009A3673"/>
    <w:rsid w:val="009B3C75"/>
    <w:rsid w:val="009B7B58"/>
    <w:rsid w:val="009C4B00"/>
    <w:rsid w:val="009C77CD"/>
    <w:rsid w:val="009E299A"/>
    <w:rsid w:val="009F2A2E"/>
    <w:rsid w:val="00A1102E"/>
    <w:rsid w:val="00A33475"/>
    <w:rsid w:val="00A41563"/>
    <w:rsid w:val="00A4368E"/>
    <w:rsid w:val="00A5039A"/>
    <w:rsid w:val="00A54E4A"/>
    <w:rsid w:val="00A578BB"/>
    <w:rsid w:val="00A64747"/>
    <w:rsid w:val="00A64C84"/>
    <w:rsid w:val="00A812CA"/>
    <w:rsid w:val="00A83299"/>
    <w:rsid w:val="00A83C46"/>
    <w:rsid w:val="00A91515"/>
    <w:rsid w:val="00A94939"/>
    <w:rsid w:val="00A96C7A"/>
    <w:rsid w:val="00AB2DBB"/>
    <w:rsid w:val="00AE35E3"/>
    <w:rsid w:val="00AE5B62"/>
    <w:rsid w:val="00AE6A69"/>
    <w:rsid w:val="00B06874"/>
    <w:rsid w:val="00B10792"/>
    <w:rsid w:val="00B10BC2"/>
    <w:rsid w:val="00B14542"/>
    <w:rsid w:val="00B3064D"/>
    <w:rsid w:val="00B4332C"/>
    <w:rsid w:val="00B438E0"/>
    <w:rsid w:val="00B464AD"/>
    <w:rsid w:val="00B4793B"/>
    <w:rsid w:val="00B53754"/>
    <w:rsid w:val="00B6394E"/>
    <w:rsid w:val="00B6652B"/>
    <w:rsid w:val="00B66565"/>
    <w:rsid w:val="00B7788F"/>
    <w:rsid w:val="00B8065B"/>
    <w:rsid w:val="00B90EDB"/>
    <w:rsid w:val="00B971CA"/>
    <w:rsid w:val="00BA622D"/>
    <w:rsid w:val="00BB11ED"/>
    <w:rsid w:val="00BC427E"/>
    <w:rsid w:val="00BD0E8A"/>
    <w:rsid w:val="00BD57D0"/>
    <w:rsid w:val="00BE1BA7"/>
    <w:rsid w:val="00BE4586"/>
    <w:rsid w:val="00BF0CA1"/>
    <w:rsid w:val="00C02753"/>
    <w:rsid w:val="00C05C5D"/>
    <w:rsid w:val="00C107A0"/>
    <w:rsid w:val="00C11B46"/>
    <w:rsid w:val="00C14582"/>
    <w:rsid w:val="00C14B36"/>
    <w:rsid w:val="00C20CE4"/>
    <w:rsid w:val="00C26885"/>
    <w:rsid w:val="00C26CBC"/>
    <w:rsid w:val="00C30BDF"/>
    <w:rsid w:val="00C32917"/>
    <w:rsid w:val="00C337D1"/>
    <w:rsid w:val="00C345CE"/>
    <w:rsid w:val="00C448FD"/>
    <w:rsid w:val="00C47E32"/>
    <w:rsid w:val="00C57A16"/>
    <w:rsid w:val="00C7162C"/>
    <w:rsid w:val="00C71A78"/>
    <w:rsid w:val="00C71AF4"/>
    <w:rsid w:val="00C832EF"/>
    <w:rsid w:val="00C8364B"/>
    <w:rsid w:val="00C9267F"/>
    <w:rsid w:val="00C95C00"/>
    <w:rsid w:val="00CB5BEC"/>
    <w:rsid w:val="00CC5633"/>
    <w:rsid w:val="00CC57BC"/>
    <w:rsid w:val="00CC5F98"/>
    <w:rsid w:val="00CC61F3"/>
    <w:rsid w:val="00CD07C5"/>
    <w:rsid w:val="00CD4F5A"/>
    <w:rsid w:val="00CD52DD"/>
    <w:rsid w:val="00CD6357"/>
    <w:rsid w:val="00CD651D"/>
    <w:rsid w:val="00CE14D1"/>
    <w:rsid w:val="00CE45D6"/>
    <w:rsid w:val="00CE614B"/>
    <w:rsid w:val="00CE63F6"/>
    <w:rsid w:val="00CF0E7B"/>
    <w:rsid w:val="00CF1796"/>
    <w:rsid w:val="00D04466"/>
    <w:rsid w:val="00D15324"/>
    <w:rsid w:val="00D16F2B"/>
    <w:rsid w:val="00D3511D"/>
    <w:rsid w:val="00D36084"/>
    <w:rsid w:val="00D75BE6"/>
    <w:rsid w:val="00D77E23"/>
    <w:rsid w:val="00D80C9C"/>
    <w:rsid w:val="00D85141"/>
    <w:rsid w:val="00D92163"/>
    <w:rsid w:val="00DA7B36"/>
    <w:rsid w:val="00DB3FFC"/>
    <w:rsid w:val="00DB64E6"/>
    <w:rsid w:val="00DD14E5"/>
    <w:rsid w:val="00DD2B68"/>
    <w:rsid w:val="00DD2FA4"/>
    <w:rsid w:val="00DD7F73"/>
    <w:rsid w:val="00DE7E78"/>
    <w:rsid w:val="00DF19CE"/>
    <w:rsid w:val="00E0021D"/>
    <w:rsid w:val="00E05694"/>
    <w:rsid w:val="00E1195E"/>
    <w:rsid w:val="00E1353F"/>
    <w:rsid w:val="00E25FE9"/>
    <w:rsid w:val="00E26069"/>
    <w:rsid w:val="00E4686C"/>
    <w:rsid w:val="00E52FFF"/>
    <w:rsid w:val="00E542F5"/>
    <w:rsid w:val="00E56758"/>
    <w:rsid w:val="00E64D6D"/>
    <w:rsid w:val="00E751F4"/>
    <w:rsid w:val="00E815BE"/>
    <w:rsid w:val="00E81E84"/>
    <w:rsid w:val="00E85835"/>
    <w:rsid w:val="00EA26F2"/>
    <w:rsid w:val="00EC32A9"/>
    <w:rsid w:val="00EE2E2D"/>
    <w:rsid w:val="00EE7C23"/>
    <w:rsid w:val="00EE7D6B"/>
    <w:rsid w:val="00EF2B9D"/>
    <w:rsid w:val="00F0782E"/>
    <w:rsid w:val="00F12469"/>
    <w:rsid w:val="00F26A90"/>
    <w:rsid w:val="00F27A2E"/>
    <w:rsid w:val="00F331FF"/>
    <w:rsid w:val="00F42F7B"/>
    <w:rsid w:val="00F4404C"/>
    <w:rsid w:val="00F538D0"/>
    <w:rsid w:val="00F62C51"/>
    <w:rsid w:val="00F67BBC"/>
    <w:rsid w:val="00F7113E"/>
    <w:rsid w:val="00F742D9"/>
    <w:rsid w:val="00F75AE6"/>
    <w:rsid w:val="00F859E9"/>
    <w:rsid w:val="00FA2269"/>
    <w:rsid w:val="00FA7701"/>
    <w:rsid w:val="00FB32DA"/>
    <w:rsid w:val="00FC45BD"/>
    <w:rsid w:val="00FD1EAE"/>
    <w:rsid w:val="00FE03F4"/>
    <w:rsid w:val="00FE6A7F"/>
    <w:rsid w:val="00FF68C3"/>
  </w:rsids>
  <m:mathPr>
    <m:mathFont m:val="Cambria Math"/>
    <m:brkBin m:val="before"/>
    <m:brkBinSub m:val="--"/>
    <m:smallFrac m:val="0"/>
    <m:dispDef/>
    <m:lMargin m:val="0"/>
    <m:rMargin m:val="0"/>
    <m:defJc m:val="centerGroup"/>
    <m:wrapIndent m:val="1440"/>
    <m:intLim m:val="subSup"/>
    <m:naryLim m:val="undOvr"/>
  </m:mathPr>
  <w:themeFontLang w:val="en-CA"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294FB"/>
  <w15:chartTrackingRefBased/>
  <w15:docId w15:val="{C6D2327C-3F5B-4732-801A-73EE8BF3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944"/>
    <w:rPr>
      <w:rFonts w:ascii="Calibri" w:eastAsiaTheme="minorEastAsia" w:hAnsi="Calibri" w:cs="Times New Roman"/>
      <w:color w:val="000000"/>
      <w:kern w:val="0"/>
      <w:lang w:eastAsia="en-CA" w:bidi="ta-IN"/>
      <w14:ligatures w14:val="none"/>
    </w:rPr>
  </w:style>
  <w:style w:type="paragraph" w:styleId="Heading1">
    <w:name w:val="heading 1"/>
    <w:basedOn w:val="Normal"/>
    <w:next w:val="Normal"/>
    <w:link w:val="Heading1Char"/>
    <w:uiPriority w:val="9"/>
    <w:qFormat/>
    <w:rsid w:val="00212F04"/>
    <w:pPr>
      <w:keepNext/>
      <w:keepLines/>
      <w:autoSpaceDE w:val="0"/>
      <w:autoSpaceDN w:val="0"/>
      <w:adjustRightInd w:val="0"/>
      <w:outlineLvl w:val="0"/>
    </w:pPr>
    <w:rPr>
      <w:rFonts w:ascii="VAGRounded BT" w:eastAsiaTheme="majorEastAsia" w:hAnsi="VAGRounded BT" w:cstheme="majorBidi"/>
      <w:color w:val="0F4761" w:themeColor="accent1" w:themeShade="BF"/>
      <w:sz w:val="28"/>
      <w:szCs w:val="28"/>
      <w:lang w:eastAsia="en-US" w:bidi="ar-SA"/>
      <w14:ligatures w14:val="standardContextual"/>
    </w:rPr>
  </w:style>
  <w:style w:type="paragraph" w:styleId="Heading2">
    <w:name w:val="heading 2"/>
    <w:basedOn w:val="Normal"/>
    <w:next w:val="Normal"/>
    <w:link w:val="Heading2Char"/>
    <w:uiPriority w:val="9"/>
    <w:semiHidden/>
    <w:unhideWhenUsed/>
    <w:qFormat/>
    <w:rsid w:val="00A96C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96C7A"/>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96C7A"/>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A96C7A"/>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A96C7A"/>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A96C7A"/>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A96C7A"/>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A96C7A"/>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2F04"/>
    <w:rPr>
      <w:rFonts w:ascii="VAGRounded BT" w:eastAsiaTheme="majorEastAsia" w:hAnsi="VAGRounded BT" w:cstheme="majorBidi"/>
      <w:color w:val="0F4761" w:themeColor="accent1" w:themeShade="BF"/>
      <w:kern w:val="0"/>
      <w:sz w:val="28"/>
      <w:szCs w:val="28"/>
    </w:rPr>
  </w:style>
  <w:style w:type="character" w:customStyle="1" w:styleId="Heading2Char">
    <w:name w:val="Heading 2 Char"/>
    <w:basedOn w:val="DefaultParagraphFont"/>
    <w:link w:val="Heading2"/>
    <w:uiPriority w:val="9"/>
    <w:semiHidden/>
    <w:rsid w:val="00A96C7A"/>
    <w:rPr>
      <w:rFonts w:asciiTheme="majorHAnsi" w:eastAsiaTheme="majorEastAsia" w:hAnsiTheme="majorHAnsi" w:cstheme="majorBidi"/>
      <w:color w:val="0F4761" w:themeColor="accent1" w:themeShade="BF"/>
      <w:kern w:val="0"/>
      <w:sz w:val="32"/>
      <w:szCs w:val="32"/>
      <w:lang w:eastAsia="en-CA" w:bidi="ta-IN"/>
      <w14:ligatures w14:val="none"/>
    </w:rPr>
  </w:style>
  <w:style w:type="character" w:customStyle="1" w:styleId="Heading3Char">
    <w:name w:val="Heading 3 Char"/>
    <w:basedOn w:val="DefaultParagraphFont"/>
    <w:link w:val="Heading3"/>
    <w:uiPriority w:val="9"/>
    <w:semiHidden/>
    <w:rsid w:val="00A96C7A"/>
    <w:rPr>
      <w:rFonts w:eastAsiaTheme="majorEastAsia" w:cstheme="majorBidi"/>
      <w:color w:val="0F4761" w:themeColor="accent1" w:themeShade="BF"/>
      <w:kern w:val="0"/>
      <w:sz w:val="28"/>
      <w:szCs w:val="28"/>
      <w:lang w:eastAsia="en-CA" w:bidi="ta-IN"/>
      <w14:ligatures w14:val="none"/>
    </w:rPr>
  </w:style>
  <w:style w:type="character" w:customStyle="1" w:styleId="Heading4Char">
    <w:name w:val="Heading 4 Char"/>
    <w:basedOn w:val="DefaultParagraphFont"/>
    <w:link w:val="Heading4"/>
    <w:uiPriority w:val="9"/>
    <w:semiHidden/>
    <w:rsid w:val="00A96C7A"/>
    <w:rPr>
      <w:rFonts w:eastAsiaTheme="majorEastAsia" w:cstheme="majorBidi"/>
      <w:i/>
      <w:iCs/>
      <w:color w:val="0F4761" w:themeColor="accent1" w:themeShade="BF"/>
      <w:kern w:val="0"/>
      <w:lang w:eastAsia="en-CA" w:bidi="ta-IN"/>
      <w14:ligatures w14:val="none"/>
    </w:rPr>
  </w:style>
  <w:style w:type="character" w:customStyle="1" w:styleId="Heading5Char">
    <w:name w:val="Heading 5 Char"/>
    <w:basedOn w:val="DefaultParagraphFont"/>
    <w:link w:val="Heading5"/>
    <w:uiPriority w:val="9"/>
    <w:semiHidden/>
    <w:rsid w:val="00A96C7A"/>
    <w:rPr>
      <w:rFonts w:eastAsiaTheme="majorEastAsia" w:cstheme="majorBidi"/>
      <w:color w:val="0F4761" w:themeColor="accent1" w:themeShade="BF"/>
      <w:kern w:val="0"/>
      <w:lang w:eastAsia="en-CA" w:bidi="ta-IN"/>
      <w14:ligatures w14:val="none"/>
    </w:rPr>
  </w:style>
  <w:style w:type="character" w:customStyle="1" w:styleId="Heading6Char">
    <w:name w:val="Heading 6 Char"/>
    <w:basedOn w:val="DefaultParagraphFont"/>
    <w:link w:val="Heading6"/>
    <w:uiPriority w:val="9"/>
    <w:semiHidden/>
    <w:rsid w:val="00A96C7A"/>
    <w:rPr>
      <w:rFonts w:eastAsiaTheme="majorEastAsia" w:cstheme="majorBidi"/>
      <w:i/>
      <w:iCs/>
      <w:color w:val="595959" w:themeColor="text1" w:themeTint="A6"/>
      <w:kern w:val="0"/>
      <w:lang w:eastAsia="en-CA" w:bidi="ta-IN"/>
      <w14:ligatures w14:val="none"/>
    </w:rPr>
  </w:style>
  <w:style w:type="character" w:customStyle="1" w:styleId="Heading7Char">
    <w:name w:val="Heading 7 Char"/>
    <w:basedOn w:val="DefaultParagraphFont"/>
    <w:link w:val="Heading7"/>
    <w:uiPriority w:val="9"/>
    <w:semiHidden/>
    <w:rsid w:val="00A96C7A"/>
    <w:rPr>
      <w:rFonts w:eastAsiaTheme="majorEastAsia" w:cstheme="majorBidi"/>
      <w:color w:val="595959" w:themeColor="text1" w:themeTint="A6"/>
      <w:kern w:val="0"/>
      <w:lang w:eastAsia="en-CA" w:bidi="ta-IN"/>
      <w14:ligatures w14:val="none"/>
    </w:rPr>
  </w:style>
  <w:style w:type="character" w:customStyle="1" w:styleId="Heading8Char">
    <w:name w:val="Heading 8 Char"/>
    <w:basedOn w:val="DefaultParagraphFont"/>
    <w:link w:val="Heading8"/>
    <w:uiPriority w:val="9"/>
    <w:semiHidden/>
    <w:rsid w:val="00A96C7A"/>
    <w:rPr>
      <w:rFonts w:eastAsiaTheme="majorEastAsia" w:cstheme="majorBidi"/>
      <w:i/>
      <w:iCs/>
      <w:color w:val="272727" w:themeColor="text1" w:themeTint="D8"/>
      <w:kern w:val="0"/>
      <w:lang w:eastAsia="en-CA" w:bidi="ta-IN"/>
      <w14:ligatures w14:val="none"/>
    </w:rPr>
  </w:style>
  <w:style w:type="character" w:customStyle="1" w:styleId="Heading9Char">
    <w:name w:val="Heading 9 Char"/>
    <w:basedOn w:val="DefaultParagraphFont"/>
    <w:link w:val="Heading9"/>
    <w:uiPriority w:val="9"/>
    <w:semiHidden/>
    <w:rsid w:val="00A96C7A"/>
    <w:rPr>
      <w:rFonts w:eastAsiaTheme="majorEastAsia" w:cstheme="majorBidi"/>
      <w:color w:val="272727" w:themeColor="text1" w:themeTint="D8"/>
      <w:kern w:val="0"/>
      <w:lang w:eastAsia="en-CA" w:bidi="ta-IN"/>
      <w14:ligatures w14:val="none"/>
    </w:rPr>
  </w:style>
  <w:style w:type="paragraph" w:styleId="Title">
    <w:name w:val="Title"/>
    <w:basedOn w:val="Normal"/>
    <w:next w:val="Normal"/>
    <w:link w:val="TitleChar"/>
    <w:uiPriority w:val="10"/>
    <w:qFormat/>
    <w:rsid w:val="00A96C7A"/>
    <w:pPr>
      <w:spacing w:after="8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96C7A"/>
    <w:rPr>
      <w:rFonts w:asciiTheme="majorHAnsi" w:eastAsiaTheme="majorEastAsia" w:hAnsiTheme="majorHAnsi" w:cstheme="majorBidi"/>
      <w:spacing w:val="-10"/>
      <w:kern w:val="28"/>
      <w:sz w:val="56"/>
      <w:szCs w:val="56"/>
      <w:lang w:eastAsia="en-CA" w:bidi="ta-IN"/>
      <w14:ligatures w14:val="none"/>
    </w:rPr>
  </w:style>
  <w:style w:type="paragraph" w:styleId="Subtitle">
    <w:name w:val="Subtitle"/>
    <w:basedOn w:val="Normal"/>
    <w:next w:val="Normal"/>
    <w:link w:val="SubtitleChar"/>
    <w:uiPriority w:val="11"/>
    <w:qFormat/>
    <w:rsid w:val="00A96C7A"/>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96C7A"/>
    <w:rPr>
      <w:rFonts w:eastAsiaTheme="majorEastAsia" w:cstheme="majorBidi"/>
      <w:color w:val="595959" w:themeColor="text1" w:themeTint="A6"/>
      <w:spacing w:val="15"/>
      <w:kern w:val="0"/>
      <w:sz w:val="28"/>
      <w:szCs w:val="28"/>
      <w:lang w:eastAsia="en-CA" w:bidi="ta-IN"/>
      <w14:ligatures w14:val="none"/>
    </w:rPr>
  </w:style>
  <w:style w:type="paragraph" w:styleId="Quote">
    <w:name w:val="Quote"/>
    <w:basedOn w:val="Normal"/>
    <w:next w:val="Normal"/>
    <w:link w:val="QuoteChar"/>
    <w:uiPriority w:val="29"/>
    <w:qFormat/>
    <w:rsid w:val="00A96C7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96C7A"/>
    <w:rPr>
      <w:rFonts w:ascii="Calibri" w:eastAsiaTheme="minorEastAsia" w:hAnsi="Calibri" w:cs="Times New Roman"/>
      <w:i/>
      <w:iCs/>
      <w:color w:val="404040" w:themeColor="text1" w:themeTint="BF"/>
      <w:kern w:val="0"/>
      <w:lang w:eastAsia="en-CA" w:bidi="ta-IN"/>
      <w14:ligatures w14:val="none"/>
    </w:rPr>
  </w:style>
  <w:style w:type="paragraph" w:styleId="ListParagraph">
    <w:name w:val="List Paragraph"/>
    <w:basedOn w:val="Normal"/>
    <w:uiPriority w:val="34"/>
    <w:qFormat/>
    <w:rsid w:val="00A96C7A"/>
    <w:pPr>
      <w:ind w:left="720"/>
      <w:contextualSpacing/>
    </w:pPr>
  </w:style>
  <w:style w:type="character" w:styleId="IntenseEmphasis">
    <w:name w:val="Intense Emphasis"/>
    <w:basedOn w:val="DefaultParagraphFont"/>
    <w:uiPriority w:val="21"/>
    <w:qFormat/>
    <w:rsid w:val="00A96C7A"/>
    <w:rPr>
      <w:i/>
      <w:iCs/>
      <w:color w:val="0F4761" w:themeColor="accent1" w:themeShade="BF"/>
    </w:rPr>
  </w:style>
  <w:style w:type="paragraph" w:styleId="IntenseQuote">
    <w:name w:val="Intense Quote"/>
    <w:basedOn w:val="Normal"/>
    <w:next w:val="Normal"/>
    <w:link w:val="IntenseQuoteChar"/>
    <w:uiPriority w:val="30"/>
    <w:qFormat/>
    <w:rsid w:val="00A96C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96C7A"/>
    <w:rPr>
      <w:rFonts w:ascii="Calibri" w:eastAsiaTheme="minorEastAsia" w:hAnsi="Calibri" w:cs="Times New Roman"/>
      <w:i/>
      <w:iCs/>
      <w:color w:val="0F4761" w:themeColor="accent1" w:themeShade="BF"/>
      <w:kern w:val="0"/>
      <w:lang w:eastAsia="en-CA" w:bidi="ta-IN"/>
      <w14:ligatures w14:val="none"/>
    </w:rPr>
  </w:style>
  <w:style w:type="character" w:styleId="IntenseReference">
    <w:name w:val="Intense Reference"/>
    <w:basedOn w:val="DefaultParagraphFont"/>
    <w:uiPriority w:val="32"/>
    <w:qFormat/>
    <w:rsid w:val="00A96C7A"/>
    <w:rPr>
      <w:b/>
      <w:bCs/>
      <w:smallCaps/>
      <w:color w:val="0F4761" w:themeColor="accent1" w:themeShade="BF"/>
      <w:spacing w:val="5"/>
    </w:rPr>
  </w:style>
  <w:style w:type="paragraph" w:styleId="Header">
    <w:name w:val="header"/>
    <w:basedOn w:val="Normal"/>
    <w:link w:val="HeaderChar"/>
    <w:uiPriority w:val="99"/>
    <w:unhideWhenUsed/>
    <w:rsid w:val="00FA7701"/>
    <w:pPr>
      <w:tabs>
        <w:tab w:val="center" w:pos="4680"/>
        <w:tab w:val="right" w:pos="9360"/>
      </w:tabs>
    </w:pPr>
  </w:style>
  <w:style w:type="character" w:customStyle="1" w:styleId="HeaderChar">
    <w:name w:val="Header Char"/>
    <w:basedOn w:val="DefaultParagraphFont"/>
    <w:link w:val="Header"/>
    <w:uiPriority w:val="99"/>
    <w:rsid w:val="00FA7701"/>
    <w:rPr>
      <w:rFonts w:ascii="Calibri" w:eastAsiaTheme="minorEastAsia" w:hAnsi="Calibri" w:cs="Times New Roman"/>
      <w:color w:val="000000"/>
      <w:kern w:val="0"/>
      <w:lang w:eastAsia="en-CA" w:bidi="ta-IN"/>
      <w14:ligatures w14:val="none"/>
    </w:rPr>
  </w:style>
  <w:style w:type="paragraph" w:styleId="Footer">
    <w:name w:val="footer"/>
    <w:basedOn w:val="Normal"/>
    <w:link w:val="FooterChar"/>
    <w:uiPriority w:val="99"/>
    <w:unhideWhenUsed/>
    <w:rsid w:val="00FA7701"/>
    <w:pPr>
      <w:tabs>
        <w:tab w:val="center" w:pos="4680"/>
        <w:tab w:val="right" w:pos="9360"/>
      </w:tabs>
    </w:pPr>
  </w:style>
  <w:style w:type="character" w:customStyle="1" w:styleId="FooterChar">
    <w:name w:val="Footer Char"/>
    <w:basedOn w:val="DefaultParagraphFont"/>
    <w:link w:val="Footer"/>
    <w:uiPriority w:val="99"/>
    <w:rsid w:val="00FA7701"/>
    <w:rPr>
      <w:rFonts w:ascii="Calibri" w:eastAsiaTheme="minorEastAsia" w:hAnsi="Calibri" w:cs="Times New Roman"/>
      <w:color w:val="000000"/>
      <w:kern w:val="0"/>
      <w:lang w:eastAsia="en-CA" w:bidi="ta-IN"/>
      <w14:ligatures w14:val="none"/>
    </w:rPr>
  </w:style>
  <w:style w:type="character" w:styleId="Hyperlink">
    <w:name w:val="Hyperlink"/>
    <w:basedOn w:val="DefaultParagraphFont"/>
    <w:uiPriority w:val="99"/>
    <w:unhideWhenUsed/>
    <w:rsid w:val="000172C8"/>
    <w:rPr>
      <w:color w:val="467886" w:themeColor="hyperlink"/>
      <w:u w:val="single"/>
    </w:rPr>
  </w:style>
  <w:style w:type="paragraph" w:styleId="NoSpacing">
    <w:name w:val="No Spacing"/>
    <w:uiPriority w:val="1"/>
    <w:qFormat/>
    <w:rsid w:val="000172C8"/>
    <w:rPr>
      <w:rFonts w:ascii="Calibri" w:hAnsi="Calibri" w:cs="Times New Roman"/>
      <w:kern w:val="0"/>
      <w:lang w:eastAsia="en-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728029">
      <w:bodyDiv w:val="1"/>
      <w:marLeft w:val="0"/>
      <w:marRight w:val="0"/>
      <w:marTop w:val="0"/>
      <w:marBottom w:val="0"/>
      <w:divBdr>
        <w:top w:val="none" w:sz="0" w:space="0" w:color="auto"/>
        <w:left w:val="none" w:sz="0" w:space="0" w:color="auto"/>
        <w:bottom w:val="none" w:sz="0" w:space="0" w:color="auto"/>
        <w:right w:val="none" w:sz="0" w:space="0" w:color="auto"/>
      </w:divBdr>
      <w:divsChild>
        <w:div w:id="945697366">
          <w:marLeft w:val="0"/>
          <w:marRight w:val="0"/>
          <w:marTop w:val="0"/>
          <w:marBottom w:val="0"/>
          <w:divBdr>
            <w:top w:val="none" w:sz="0" w:space="0" w:color="auto"/>
            <w:left w:val="none" w:sz="0" w:space="0" w:color="auto"/>
            <w:bottom w:val="none" w:sz="0" w:space="0" w:color="auto"/>
            <w:right w:val="none" w:sz="0" w:space="0" w:color="auto"/>
          </w:divBdr>
          <w:divsChild>
            <w:div w:id="133454210">
              <w:marLeft w:val="0"/>
              <w:marRight w:val="0"/>
              <w:marTop w:val="0"/>
              <w:marBottom w:val="0"/>
              <w:divBdr>
                <w:top w:val="none" w:sz="0" w:space="0" w:color="auto"/>
                <w:left w:val="none" w:sz="0" w:space="0" w:color="auto"/>
                <w:bottom w:val="none" w:sz="0" w:space="0" w:color="auto"/>
                <w:right w:val="none" w:sz="0" w:space="0" w:color="auto"/>
              </w:divBdr>
            </w:div>
            <w:div w:id="2104107039">
              <w:marLeft w:val="0"/>
              <w:marRight w:val="0"/>
              <w:marTop w:val="0"/>
              <w:marBottom w:val="0"/>
              <w:divBdr>
                <w:top w:val="none" w:sz="0" w:space="0" w:color="auto"/>
                <w:left w:val="none" w:sz="0" w:space="0" w:color="auto"/>
                <w:bottom w:val="none" w:sz="0" w:space="0" w:color="auto"/>
                <w:right w:val="none" w:sz="0" w:space="0" w:color="auto"/>
              </w:divBdr>
            </w:div>
            <w:div w:id="1198734655">
              <w:marLeft w:val="0"/>
              <w:marRight w:val="0"/>
              <w:marTop w:val="0"/>
              <w:marBottom w:val="0"/>
              <w:divBdr>
                <w:top w:val="none" w:sz="0" w:space="0" w:color="auto"/>
                <w:left w:val="none" w:sz="0" w:space="0" w:color="auto"/>
                <w:bottom w:val="none" w:sz="0" w:space="0" w:color="auto"/>
                <w:right w:val="none" w:sz="0" w:space="0" w:color="auto"/>
              </w:divBdr>
            </w:div>
          </w:divsChild>
        </w:div>
        <w:div w:id="443767504">
          <w:marLeft w:val="0"/>
          <w:marRight w:val="0"/>
          <w:marTop w:val="120"/>
          <w:marBottom w:val="0"/>
          <w:divBdr>
            <w:top w:val="none" w:sz="0" w:space="0" w:color="auto"/>
            <w:left w:val="none" w:sz="0" w:space="0" w:color="auto"/>
            <w:bottom w:val="none" w:sz="0" w:space="0" w:color="auto"/>
            <w:right w:val="none" w:sz="0" w:space="0" w:color="auto"/>
          </w:divBdr>
          <w:divsChild>
            <w:div w:id="571889290">
              <w:marLeft w:val="0"/>
              <w:marRight w:val="0"/>
              <w:marTop w:val="0"/>
              <w:marBottom w:val="0"/>
              <w:divBdr>
                <w:top w:val="none" w:sz="0" w:space="0" w:color="auto"/>
                <w:left w:val="none" w:sz="0" w:space="0" w:color="auto"/>
                <w:bottom w:val="none" w:sz="0" w:space="0" w:color="auto"/>
                <w:right w:val="none" w:sz="0" w:space="0" w:color="auto"/>
              </w:divBdr>
            </w:div>
          </w:divsChild>
        </w:div>
        <w:div w:id="442918186">
          <w:marLeft w:val="0"/>
          <w:marRight w:val="0"/>
          <w:marTop w:val="120"/>
          <w:marBottom w:val="0"/>
          <w:divBdr>
            <w:top w:val="none" w:sz="0" w:space="0" w:color="auto"/>
            <w:left w:val="none" w:sz="0" w:space="0" w:color="auto"/>
            <w:bottom w:val="none" w:sz="0" w:space="0" w:color="auto"/>
            <w:right w:val="none" w:sz="0" w:space="0" w:color="auto"/>
          </w:divBdr>
          <w:divsChild>
            <w:div w:id="147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54039">
      <w:bodyDiv w:val="1"/>
      <w:marLeft w:val="0"/>
      <w:marRight w:val="0"/>
      <w:marTop w:val="0"/>
      <w:marBottom w:val="0"/>
      <w:divBdr>
        <w:top w:val="none" w:sz="0" w:space="0" w:color="auto"/>
        <w:left w:val="none" w:sz="0" w:space="0" w:color="auto"/>
        <w:bottom w:val="none" w:sz="0" w:space="0" w:color="auto"/>
        <w:right w:val="none" w:sz="0" w:space="0" w:color="auto"/>
      </w:divBdr>
      <w:divsChild>
        <w:div w:id="1873490606">
          <w:marLeft w:val="0"/>
          <w:marRight w:val="0"/>
          <w:marTop w:val="0"/>
          <w:marBottom w:val="0"/>
          <w:divBdr>
            <w:top w:val="none" w:sz="0" w:space="0" w:color="auto"/>
            <w:left w:val="none" w:sz="0" w:space="0" w:color="auto"/>
            <w:bottom w:val="none" w:sz="0" w:space="0" w:color="auto"/>
            <w:right w:val="none" w:sz="0" w:space="0" w:color="auto"/>
          </w:divBdr>
          <w:divsChild>
            <w:div w:id="1088430305">
              <w:marLeft w:val="0"/>
              <w:marRight w:val="0"/>
              <w:marTop w:val="0"/>
              <w:marBottom w:val="0"/>
              <w:divBdr>
                <w:top w:val="none" w:sz="0" w:space="0" w:color="auto"/>
                <w:left w:val="none" w:sz="0" w:space="0" w:color="auto"/>
                <w:bottom w:val="none" w:sz="0" w:space="0" w:color="auto"/>
                <w:right w:val="none" w:sz="0" w:space="0" w:color="auto"/>
              </w:divBdr>
            </w:div>
            <w:div w:id="1447696978">
              <w:marLeft w:val="0"/>
              <w:marRight w:val="0"/>
              <w:marTop w:val="0"/>
              <w:marBottom w:val="0"/>
              <w:divBdr>
                <w:top w:val="none" w:sz="0" w:space="0" w:color="auto"/>
                <w:left w:val="none" w:sz="0" w:space="0" w:color="auto"/>
                <w:bottom w:val="none" w:sz="0" w:space="0" w:color="auto"/>
                <w:right w:val="none" w:sz="0" w:space="0" w:color="auto"/>
              </w:divBdr>
            </w:div>
            <w:div w:id="1178694920">
              <w:marLeft w:val="0"/>
              <w:marRight w:val="0"/>
              <w:marTop w:val="0"/>
              <w:marBottom w:val="0"/>
              <w:divBdr>
                <w:top w:val="none" w:sz="0" w:space="0" w:color="auto"/>
                <w:left w:val="none" w:sz="0" w:space="0" w:color="auto"/>
                <w:bottom w:val="none" w:sz="0" w:space="0" w:color="auto"/>
                <w:right w:val="none" w:sz="0" w:space="0" w:color="auto"/>
              </w:divBdr>
            </w:div>
          </w:divsChild>
        </w:div>
        <w:div w:id="1390346919">
          <w:marLeft w:val="0"/>
          <w:marRight w:val="0"/>
          <w:marTop w:val="120"/>
          <w:marBottom w:val="0"/>
          <w:divBdr>
            <w:top w:val="none" w:sz="0" w:space="0" w:color="auto"/>
            <w:left w:val="none" w:sz="0" w:space="0" w:color="auto"/>
            <w:bottom w:val="none" w:sz="0" w:space="0" w:color="auto"/>
            <w:right w:val="none" w:sz="0" w:space="0" w:color="auto"/>
          </w:divBdr>
          <w:divsChild>
            <w:div w:id="1471634307">
              <w:marLeft w:val="0"/>
              <w:marRight w:val="0"/>
              <w:marTop w:val="0"/>
              <w:marBottom w:val="0"/>
              <w:divBdr>
                <w:top w:val="none" w:sz="0" w:space="0" w:color="auto"/>
                <w:left w:val="none" w:sz="0" w:space="0" w:color="auto"/>
                <w:bottom w:val="none" w:sz="0" w:space="0" w:color="auto"/>
                <w:right w:val="none" w:sz="0" w:space="0" w:color="auto"/>
              </w:divBdr>
            </w:div>
          </w:divsChild>
        </w:div>
        <w:div w:id="555972509">
          <w:marLeft w:val="0"/>
          <w:marRight w:val="0"/>
          <w:marTop w:val="120"/>
          <w:marBottom w:val="0"/>
          <w:divBdr>
            <w:top w:val="none" w:sz="0" w:space="0" w:color="auto"/>
            <w:left w:val="none" w:sz="0" w:space="0" w:color="auto"/>
            <w:bottom w:val="none" w:sz="0" w:space="0" w:color="auto"/>
            <w:right w:val="none" w:sz="0" w:space="0" w:color="auto"/>
          </w:divBdr>
          <w:divsChild>
            <w:div w:id="1390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ca/coins/Jesus-coins-of-the-bible-Greek-Empire-Alexander-Jannaeus-103-76BC-Prutah-Widows-Mite-AE-bronze-Inscription-King-Alexander-Year-25-8ray-star-inverted-anchor-78BC-MeshorerL-Hendin1152-KEM927-D.jpg" TargetMode="External"/><Relationship Id="rId18" Type="http://schemas.openxmlformats.org/officeDocument/2006/relationships/image" Target="media/image6.jpeg"/><Relationship Id="rId26" Type="http://schemas.openxmlformats.org/officeDocument/2006/relationships/hyperlink" Target="https://www.bible.ca/prophecy/Matthew24-Luke21-Mark13-Triple-Midrashic-prophecy-Olivet-Discourse-Pentecost-AD33-Destruction-Jerusalem-AD70-Second-Coming.htm" TargetMode="External"/><Relationship Id="rId21" Type="http://schemas.openxmlformats.org/officeDocument/2006/relationships/hyperlink" Target="https://www.bible.ca/prophecy/Exodus-Moses-Israel-Christ-church-double-dual-messianic-bible-prophecy-Midrashic-type-antitype.jpg" TargetMode="External"/><Relationship Id="rId34" Type="http://schemas.openxmlformats.org/officeDocument/2006/relationships/image" Target="media/image13.jpeg"/><Relationship Id="rId7" Type="http://schemas.openxmlformats.org/officeDocument/2006/relationships/hyperlink" Target="https://www.bible.ca/synagogues/bible-prophecy-daniels-vision-statue-four-kingdoms-Babylon-Medo-Persia-Greece-Rome-church.jpg" TargetMode="External"/><Relationship Id="rId12" Type="http://schemas.openxmlformats.org/officeDocument/2006/relationships/image" Target="media/image3.jpg"/><Relationship Id="rId17" Type="http://schemas.openxmlformats.org/officeDocument/2006/relationships/hyperlink" Target="https://www.bible.ca/prophecy/2Samuel-7-14-double-dual-messianic-bible-prophecy-Midrashic-Solomon-Christ-build-temple-king-church.jpg" TargetMode="External"/><Relationship Id="rId25" Type="http://schemas.openxmlformats.org/officeDocument/2006/relationships/image" Target="media/image10.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s://www.bible.ca/prophecy/2Samuel-7-14-dual-messianic-prophecy-Solomon-Christ-build-temple-king-church.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ble.ca/coins/Messianic-prophecy-star-of-bethlehem-coin-Jesus-Christ-the-Nazarene-born-Numbers24-17-Dead-Sea-Scroll-4QTestimonia.jpg" TargetMode="External"/><Relationship Id="rId24" Type="http://schemas.openxmlformats.org/officeDocument/2006/relationships/hyperlink" Target="https://www.bible.ca/prophecy/Jonah-Jesus-triple-messianic-bible-prophecy-Midrashic-types-shadows-antitypes-similarities-comparisons-fish-boat-tarshish-hades-hell-resurrection.jpg" TargetMode="Externa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bible.ca/coins/Jesus-coins-of-the-bible-Greek-Empire-Alexander-Jannaeus-103-76BC-Prutah-Widows-Mite-AE-bronze-Inscription-King-Alexander-Year-25-8ray-star-inverted-anchor-78BC-MeshorerL-Hendin1152-KEM927-M.jpg" TargetMode="External"/><Relationship Id="rId23" Type="http://schemas.openxmlformats.org/officeDocument/2006/relationships/image" Target="media/image9.jpeg"/><Relationship Id="rId28" Type="http://schemas.openxmlformats.org/officeDocument/2006/relationships/hyperlink" Target="https://www.bible.ca/prophecy/Isaiah53-five-fold-prophecy-fulfillment-suffering-servant-Isaiah-sawed-two-Jesus-Paul-Christians-prophets.htm"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bible.ca/prophecy/Isaiah7-14-virgin-birth-dual-double-messianic-bible-prophecy-Midrashic-fulfillment-Isaiah-Jesus-Rezin-Pekah-Herod-great.jpg" TargetMode="External"/><Relationship Id="rId31" Type="http://schemas.openxmlformats.org/officeDocument/2006/relationships/hyperlink" Target="https://www.bible.ca/prophecy/Matthew24-Luke21-Mark13-triple-messianic-bible-prophecy-Midrashic-Olivet-Discourse-Pentecost-AD33-Destruction-Jerusalem-AD70-Second-Coming.jpg" TargetMode="External"/><Relationship Id="rId4" Type="http://schemas.openxmlformats.org/officeDocument/2006/relationships/webSettings" Target="webSettings.xml"/><Relationship Id="rId9" Type="http://schemas.openxmlformats.org/officeDocument/2006/relationships/hyperlink" Target="https://www.bible.ca/bible-chronology-chart-70-weeks-Daniel9.24-Messiah-490-years-7th-year-Artaxerxes-458BC-resurrection-33AD.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bible.ca/prophecy/Isaiah7-14-virgin-birth-two-fold-messianic-prophecy-fulfillment-Isaiah-Jesus-Rezin-Pekah-Herod-great.htm" TargetMode="External"/><Relationship Id="rId30" Type="http://schemas.openxmlformats.org/officeDocument/2006/relationships/hyperlink" Target="https://www.bible.ca/prophecy/Matthew24-Luke21-Mark13-Triple-Midrashic-prophecy-Olivet-Discourse-Pentecost-AD33-Destruction-Jerusalem-AD70-Second-Coming.htm" TargetMode="External"/><Relationship Id="rId35" Type="http://schemas.openxmlformats.org/officeDocument/2006/relationships/image" Target="media/image14.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122</TotalTime>
  <Pages>12</Pages>
  <Words>1117</Words>
  <Characters>6369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Rudd</dc:creator>
  <cp:keywords/>
  <dc:description/>
  <cp:lastModifiedBy>Steven Rudd</cp:lastModifiedBy>
  <cp:revision>32</cp:revision>
  <cp:lastPrinted>2025-05-03T16:30:00Z</cp:lastPrinted>
  <dcterms:created xsi:type="dcterms:W3CDTF">2025-05-03T14:36:00Z</dcterms:created>
  <dcterms:modified xsi:type="dcterms:W3CDTF">2025-05-03T17:23:00Z</dcterms:modified>
</cp:coreProperties>
</file>